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07" w:rsidRPr="00E94310" w:rsidRDefault="00E94310" w:rsidP="005D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</w:rPr>
      </w:pPr>
      <w:r w:rsidRPr="00E94310">
        <w:rPr>
          <w:rFonts w:ascii="Arial" w:hAnsi="Arial" w:cs="Arial"/>
          <w:b/>
        </w:rPr>
        <w:t>Verabschiedung Pflegebonusgesetz</w:t>
      </w:r>
      <w:r w:rsidR="00E246C6">
        <w:rPr>
          <w:rFonts w:ascii="Arial" w:hAnsi="Arial" w:cs="Arial"/>
          <w:b/>
        </w:rPr>
        <w:t xml:space="preserve">/ § 150a SGB XI im </w:t>
      </w:r>
      <w:r w:rsidRPr="00E94310">
        <w:rPr>
          <w:rFonts w:ascii="Arial" w:hAnsi="Arial" w:cs="Arial"/>
          <w:b/>
        </w:rPr>
        <w:t>Bundestag</w:t>
      </w:r>
    </w:p>
    <w:p w:rsidR="00E94310" w:rsidRDefault="00E94310" w:rsidP="003D5393">
      <w:pPr>
        <w:spacing w:after="0" w:line="240" w:lineRule="atLeast"/>
        <w:rPr>
          <w:rFonts w:ascii="Arial" w:hAnsi="Arial" w:cs="Arial"/>
        </w:rPr>
      </w:pPr>
    </w:p>
    <w:p w:rsidR="00805907" w:rsidRPr="00777671" w:rsidRDefault="00E94310" w:rsidP="00DB4E37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Am 19.</w:t>
      </w:r>
      <w:r w:rsidR="003F4536">
        <w:rPr>
          <w:rFonts w:ascii="Arial" w:hAnsi="Arial" w:cs="Arial"/>
        </w:rPr>
        <w:t xml:space="preserve"> Mai </w:t>
      </w:r>
      <w:r w:rsidR="00E246C6">
        <w:rPr>
          <w:rFonts w:ascii="Arial" w:hAnsi="Arial" w:cs="Arial"/>
        </w:rPr>
        <w:t xml:space="preserve">2022 fand </w:t>
      </w:r>
      <w:r w:rsidR="00805907" w:rsidRPr="00777671">
        <w:rPr>
          <w:rFonts w:ascii="Arial" w:hAnsi="Arial" w:cs="Arial"/>
        </w:rPr>
        <w:t xml:space="preserve">die zweite und dritte Lesung </w:t>
      </w:r>
      <w:r w:rsidR="00805907" w:rsidRPr="00777671">
        <w:rPr>
          <w:rFonts w:ascii="Arial" w:hAnsi="Arial" w:cs="Arial"/>
          <w:color w:val="000000"/>
          <w:shd w:val="clear" w:color="auto" w:fill="FFFFFF"/>
        </w:rPr>
        <w:t>des von den Fraktionen SPD, BÜNDNIS 90/DIE GRÜNEN und FDP eingebrachten Entwurfs eines Gesetzes zur Zahlung eines Bonus für Pflegekräfte in Krankenhäusern und Pflegeeinrichtungen</w:t>
      </w:r>
      <w:r>
        <w:rPr>
          <w:rFonts w:ascii="Arial" w:hAnsi="Arial" w:cs="Arial"/>
          <w:color w:val="000000"/>
          <w:shd w:val="clear" w:color="auto" w:fill="FFFFFF"/>
        </w:rPr>
        <w:t xml:space="preserve"> (Pflegebonusgesetz) Drucksache </w:t>
      </w:r>
      <w:hyperlink r:id="rId8" w:tgtFrame="_blank" w:tooltip="Die PDF-Datei Drucksache 20/1331 öffnet sich in einem neuen Fenster" w:history="1">
        <w:r w:rsidR="00805907" w:rsidRPr="00777671">
          <w:rPr>
            <w:rStyle w:val="Hyperlink"/>
            <w:rFonts w:ascii="Arial" w:hAnsi="Arial" w:cs="Arial"/>
            <w:color w:val="31505F"/>
            <w:shd w:val="clear" w:color="auto" w:fill="FFFFFF"/>
          </w:rPr>
          <w:t>20/1331</w:t>
        </w:r>
      </w:hyperlink>
      <w:r w:rsidR="00805907" w:rsidRPr="00777671">
        <w:rPr>
          <w:rFonts w:ascii="Arial" w:hAnsi="Arial" w:cs="Arial"/>
        </w:rPr>
        <w:t xml:space="preserve"> statt. </w:t>
      </w:r>
      <w:r w:rsidR="00E246C6">
        <w:rPr>
          <w:rFonts w:ascii="Arial" w:hAnsi="Arial" w:cs="Arial"/>
        </w:rPr>
        <w:t>Verabschiedet wurde</w:t>
      </w:r>
      <w:r w:rsidR="00805907" w:rsidRPr="00777671">
        <w:rPr>
          <w:rFonts w:ascii="Arial" w:hAnsi="Arial" w:cs="Arial"/>
        </w:rPr>
        <w:t xml:space="preserve"> das Gesetz mit den in der Beschlussempfehlung </w:t>
      </w:r>
      <w:r w:rsidR="00805907" w:rsidRPr="00777671">
        <w:rPr>
          <w:rFonts w:ascii="Arial" w:hAnsi="Arial" w:cs="Arial"/>
          <w:color w:val="000000"/>
          <w:shd w:val="clear" w:color="auto" w:fill="FFFFFF"/>
        </w:rPr>
        <w:t>des Ausschusses für Gesundheit (14. Aussc</w:t>
      </w:r>
      <w:r>
        <w:rPr>
          <w:rFonts w:ascii="Arial" w:hAnsi="Arial" w:cs="Arial"/>
          <w:color w:val="000000"/>
          <w:shd w:val="clear" w:color="auto" w:fill="FFFFFF"/>
        </w:rPr>
        <w:t>huss) von 18.</w:t>
      </w:r>
      <w:r w:rsidR="003F4536">
        <w:rPr>
          <w:rFonts w:ascii="Arial" w:hAnsi="Arial" w:cs="Arial"/>
          <w:color w:val="000000"/>
          <w:shd w:val="clear" w:color="auto" w:fill="FFFFFF"/>
        </w:rPr>
        <w:t xml:space="preserve"> Mai </w:t>
      </w:r>
      <w:r>
        <w:rPr>
          <w:rFonts w:ascii="Arial" w:hAnsi="Arial" w:cs="Arial"/>
          <w:color w:val="000000"/>
          <w:shd w:val="clear" w:color="auto" w:fill="FFFFFF"/>
        </w:rPr>
        <w:t xml:space="preserve">2022 in der Drucksache </w:t>
      </w:r>
      <w:hyperlink r:id="rId9" w:tgtFrame="_blank" w:tooltip="Die PDF-Datei Drucksache 20/1909 öffnet sich in einem neuen Fenster" w:history="1">
        <w:r w:rsidR="00805907" w:rsidRPr="00777671">
          <w:rPr>
            <w:rStyle w:val="Hyperlink"/>
            <w:rFonts w:ascii="Arial" w:hAnsi="Arial" w:cs="Arial"/>
            <w:color w:val="31505F"/>
            <w:shd w:val="clear" w:color="auto" w:fill="FFFFFF"/>
          </w:rPr>
          <w:t>20/1909</w:t>
        </w:r>
      </w:hyperlink>
      <w:r w:rsidR="00001FE5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estgehaltenen Änderungen.</w:t>
      </w:r>
    </w:p>
    <w:p w:rsidR="00805907" w:rsidRPr="00777671" w:rsidRDefault="00805907" w:rsidP="00DB4E37">
      <w:pPr>
        <w:spacing w:after="0" w:line="240" w:lineRule="atLeast"/>
        <w:rPr>
          <w:rFonts w:ascii="Arial" w:hAnsi="Arial" w:cs="Arial"/>
        </w:rPr>
      </w:pPr>
    </w:p>
    <w:p w:rsidR="00805907" w:rsidRPr="00777671" w:rsidRDefault="00777671" w:rsidP="00DB4E37">
      <w:pPr>
        <w:spacing w:after="0" w:line="240" w:lineRule="atLeast"/>
        <w:rPr>
          <w:rFonts w:ascii="Arial" w:hAnsi="Arial" w:cs="Arial"/>
        </w:rPr>
      </w:pPr>
      <w:r w:rsidRPr="00777671">
        <w:rPr>
          <w:rFonts w:ascii="Arial" w:hAnsi="Arial" w:cs="Arial"/>
        </w:rPr>
        <w:t xml:space="preserve">Das Gesetz enthält neben dem sogenannten Pflegebonus für die Pflegekräfte im Krankenhaus und dem Pflegebonus für die Langzeitpflege </w:t>
      </w:r>
      <w:r w:rsidR="009F171B">
        <w:rPr>
          <w:rFonts w:ascii="Arial" w:hAnsi="Arial" w:cs="Arial"/>
        </w:rPr>
        <w:t xml:space="preserve">(§ 150a SGB XI) </w:t>
      </w:r>
      <w:r w:rsidRPr="00777671">
        <w:rPr>
          <w:rFonts w:ascii="Arial" w:hAnsi="Arial" w:cs="Arial"/>
        </w:rPr>
        <w:t xml:space="preserve">einige weitere Änderungen im SGB XI und </w:t>
      </w:r>
      <w:r w:rsidR="009F171B">
        <w:rPr>
          <w:rFonts w:ascii="Arial" w:hAnsi="Arial" w:cs="Arial"/>
        </w:rPr>
        <w:t xml:space="preserve">im </w:t>
      </w:r>
      <w:r w:rsidRPr="00777671">
        <w:rPr>
          <w:rFonts w:ascii="Arial" w:hAnsi="Arial" w:cs="Arial"/>
        </w:rPr>
        <w:t xml:space="preserve">Familienpflegezeitgesetz bzw. Pflegezeitgesetz. </w:t>
      </w:r>
    </w:p>
    <w:p w:rsidR="00777671" w:rsidRDefault="00777671" w:rsidP="00DB4E37">
      <w:pPr>
        <w:spacing w:after="0" w:line="240" w:lineRule="atLeast"/>
        <w:rPr>
          <w:rFonts w:ascii="Arial" w:hAnsi="Arial" w:cs="Arial"/>
        </w:rPr>
      </w:pPr>
    </w:p>
    <w:p w:rsidR="00001FE5" w:rsidRDefault="00001FE5" w:rsidP="00001FE5">
      <w:pPr>
        <w:autoSpaceDE w:val="0"/>
        <w:autoSpaceDN w:val="0"/>
        <w:spacing w:after="0" w:line="240" w:lineRule="atLeast"/>
        <w:rPr>
          <w:rFonts w:ascii="Arial" w:eastAsia="Calibri" w:hAnsi="Arial" w:cs="Arial"/>
        </w:rPr>
      </w:pPr>
      <w:r w:rsidRPr="00001FE5">
        <w:rPr>
          <w:rFonts w:ascii="Arial" w:hAnsi="Arial" w:cs="Arial"/>
        </w:rPr>
        <w:t>In Relation zum Gesetzentwurf und zu den im Rahmen des Gesetzgebungsverfahrens bereits bekannten Inhalten wurde</w:t>
      </w:r>
      <w:r w:rsidR="00E94310">
        <w:rPr>
          <w:rFonts w:ascii="Arial" w:hAnsi="Arial" w:cs="Arial"/>
        </w:rPr>
        <w:t>n</w:t>
      </w:r>
      <w:r w:rsidRPr="00001FE5">
        <w:rPr>
          <w:rFonts w:ascii="Arial" w:hAnsi="Arial" w:cs="Arial"/>
        </w:rPr>
        <w:t xml:space="preserve"> einige eher redaktionelle Konkretisierungen in § 150a SGB XI vorgenommen</w:t>
      </w:r>
      <w:r>
        <w:rPr>
          <w:rFonts w:ascii="Arial" w:eastAsia="Calibri" w:hAnsi="Arial" w:cs="Arial"/>
        </w:rPr>
        <w:t xml:space="preserve">. </w:t>
      </w:r>
    </w:p>
    <w:p w:rsidR="00E94310" w:rsidRPr="00001FE5" w:rsidRDefault="00E94310" w:rsidP="00001FE5">
      <w:pPr>
        <w:autoSpaceDE w:val="0"/>
        <w:autoSpaceDN w:val="0"/>
        <w:spacing w:after="0" w:line="240" w:lineRule="atLeast"/>
        <w:rPr>
          <w:rFonts w:ascii="Arial" w:eastAsia="Calibri" w:hAnsi="Arial" w:cs="Arial"/>
        </w:rPr>
      </w:pPr>
    </w:p>
    <w:p w:rsidR="00315C69" w:rsidRPr="00777671" w:rsidRDefault="00315C69" w:rsidP="00DB4E37">
      <w:pPr>
        <w:spacing w:after="0" w:line="240" w:lineRule="atLeast"/>
        <w:rPr>
          <w:rFonts w:ascii="Arial" w:hAnsi="Arial" w:cs="Arial"/>
        </w:rPr>
      </w:pPr>
    </w:p>
    <w:p w:rsidR="00777671" w:rsidRPr="00E94310" w:rsidRDefault="00777671" w:rsidP="00E9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tLeast"/>
        <w:rPr>
          <w:rFonts w:ascii="Arial" w:eastAsia="Calibri" w:hAnsi="Arial" w:cs="Arial"/>
          <w:b/>
        </w:rPr>
      </w:pPr>
      <w:r w:rsidRPr="00777671">
        <w:rPr>
          <w:rFonts w:ascii="Arial" w:eastAsia="Calibri" w:hAnsi="Arial" w:cs="Arial"/>
          <w:b/>
        </w:rPr>
        <w:t>§ 150a Sonderleistung eines Pflegebonus zur Anerkennung der besonderen Leistungen in der SARS-CoV-2-Pandemie</w:t>
      </w:r>
    </w:p>
    <w:p w:rsidR="00777671" w:rsidRPr="00777671" w:rsidRDefault="00777671" w:rsidP="00DB4E37">
      <w:pPr>
        <w:pStyle w:val="Listenabsatz"/>
        <w:numPr>
          <w:ilvl w:val="0"/>
          <w:numId w:val="1"/>
        </w:numPr>
        <w:spacing w:after="0" w:line="240" w:lineRule="atLeast"/>
        <w:ind w:left="357" w:hanging="357"/>
        <w:contextualSpacing w:val="0"/>
        <w:rPr>
          <w:rFonts w:ascii="Arial" w:hAnsi="Arial" w:cs="Arial"/>
        </w:rPr>
      </w:pPr>
      <w:r w:rsidRPr="00777671">
        <w:rPr>
          <w:rFonts w:ascii="Arial" w:eastAsia="Calibri" w:hAnsi="Arial" w:cs="Arial"/>
        </w:rPr>
        <w:t xml:space="preserve">Die zugelassenen Pflegeeinrichtungen </w:t>
      </w:r>
      <w:r w:rsidR="00E94310">
        <w:rPr>
          <w:rFonts w:ascii="Arial" w:eastAsia="Calibri" w:hAnsi="Arial" w:cs="Arial"/>
        </w:rPr>
        <w:t>(und auch die stationären Hospize</w:t>
      </w:r>
      <w:r w:rsidR="00E94310">
        <w:rPr>
          <w:rStyle w:val="Funotenzeichen"/>
          <w:rFonts w:ascii="Arial" w:eastAsia="Calibri" w:hAnsi="Arial" w:cs="Arial"/>
        </w:rPr>
        <w:footnoteReference w:id="1"/>
      </w:r>
      <w:r w:rsidR="00E94310">
        <w:rPr>
          <w:rFonts w:ascii="Arial" w:eastAsia="Calibri" w:hAnsi="Arial" w:cs="Arial"/>
        </w:rPr>
        <w:t xml:space="preserve">) </w:t>
      </w:r>
      <w:r w:rsidRPr="00777671">
        <w:rPr>
          <w:rFonts w:ascii="Arial" w:eastAsia="Calibri" w:hAnsi="Arial" w:cs="Arial"/>
        </w:rPr>
        <w:t>sind verpflichtet, jeder und jedem ihrer Beschäftigten im Jahr 2022 eine einmalige Sonderleistung nach Maßgabe der Absätze 2 bis 6 und 8 (Corona-Pflegebonus) zu zahlen. (</w:t>
      </w:r>
      <w:r w:rsidRPr="00777671">
        <w:rPr>
          <w:rFonts w:ascii="Arial" w:hAnsi="Arial" w:cs="Arial"/>
        </w:rPr>
        <w:t>Gleiches gilt für Arbeitgeber, deren Arbeitnehmerinnen oder Arbeitnehmer in Einrichtungen nach Satz 1 im Rahmen einer Arbeitnehmerüberlassung oder eines Werk- oder Dienstleist</w:t>
      </w:r>
      <w:r>
        <w:rPr>
          <w:rFonts w:ascii="Arial" w:hAnsi="Arial" w:cs="Arial"/>
        </w:rPr>
        <w:t>ungsvertrags eingesetzt werden.)</w:t>
      </w:r>
    </w:p>
    <w:p w:rsidR="00777671" w:rsidRPr="00777671" w:rsidRDefault="00777671" w:rsidP="00DB4E37">
      <w:pPr>
        <w:pStyle w:val="Listenabsatz"/>
        <w:numPr>
          <w:ilvl w:val="0"/>
          <w:numId w:val="1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 xml:space="preserve">Einen Anspruch auf einen Corona-Pflegebonus haben Vollzeitbeschäftigte, die im Zeitraum vom </w:t>
      </w:r>
      <w:r w:rsidRPr="00777671">
        <w:rPr>
          <w:rFonts w:ascii="Arial" w:eastAsia="Calibri" w:hAnsi="Arial" w:cs="Arial"/>
          <w:b/>
        </w:rPr>
        <w:t>1. November 2020 bis einschließlich zum 30. Juni 2022</w:t>
      </w:r>
      <w:r w:rsidRPr="00777671">
        <w:rPr>
          <w:rFonts w:ascii="Arial" w:eastAsia="Calibri" w:hAnsi="Arial" w:cs="Arial"/>
        </w:rPr>
        <w:t xml:space="preserve"> </w:t>
      </w:r>
      <w:r w:rsidRPr="00777671">
        <w:rPr>
          <w:rFonts w:ascii="Arial" w:eastAsia="Calibri" w:hAnsi="Arial" w:cs="Arial"/>
          <w:b/>
        </w:rPr>
        <w:t>(Bemessungszeitraum) mindestens drei Monate</w:t>
      </w:r>
      <w:r w:rsidRPr="00777671">
        <w:rPr>
          <w:rFonts w:ascii="Arial" w:eastAsia="Calibri" w:hAnsi="Arial" w:cs="Arial"/>
        </w:rPr>
        <w:t xml:space="preserve"> in einer zugelassenen oder für eine zugelassene Pflegeeinrichtung tätig waren und die am 30. Juni 2022 in oder für eine zugelassene Pflegeeinrichtung </w:t>
      </w:r>
      <w:r w:rsidRPr="00777671">
        <w:rPr>
          <w:rFonts w:ascii="Arial" w:eastAsia="Calibri" w:hAnsi="Arial" w:cs="Arial"/>
          <w:b/>
          <w:u w:val="single"/>
        </w:rPr>
        <w:t>beschäftigt und tätig</w:t>
      </w:r>
      <w:r w:rsidRPr="00777671">
        <w:rPr>
          <w:rFonts w:ascii="Arial" w:eastAsia="Calibri" w:hAnsi="Arial" w:cs="Arial"/>
        </w:rPr>
        <w:t xml:space="preserve"> sind. </w:t>
      </w:r>
    </w:p>
    <w:p w:rsidR="00777671" w:rsidRPr="00777671" w:rsidRDefault="00777671" w:rsidP="00DB4E37">
      <w:pPr>
        <w:pStyle w:val="Listenabsatz"/>
        <w:numPr>
          <w:ilvl w:val="0"/>
          <w:numId w:val="1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 xml:space="preserve">Einen Anspruch auf einen Corona-Pflegebonus haben auch Vollzeitbeschäftigte, die im Bemessungszeitraum mindestens drei Monate in einer zugelassenen oder für eine zugelassene Pflegeeinrichtung tätig waren und </w:t>
      </w:r>
    </w:p>
    <w:p w:rsidR="00777671" w:rsidRPr="00777671" w:rsidRDefault="00777671" w:rsidP="00DB4E37">
      <w:pPr>
        <w:pStyle w:val="Listenabsatz"/>
        <w:numPr>
          <w:ilvl w:val="0"/>
          <w:numId w:val="4"/>
        </w:numPr>
        <w:autoSpaceDE w:val="0"/>
        <w:autoSpaceDN w:val="0"/>
        <w:spacing w:after="0" w:line="240" w:lineRule="atLeast"/>
        <w:contextualSpacing w:val="0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 xml:space="preserve">am 30. Juni 2022 nur deshalb nicht mehr beschäftigt und tätig sind, weil für sie </w:t>
      </w:r>
      <w:r w:rsidRPr="00777671">
        <w:rPr>
          <w:rFonts w:ascii="Arial" w:eastAsia="Calibri" w:hAnsi="Arial" w:cs="Arial"/>
        </w:rPr>
        <w:br/>
        <w:t>zu diesem Zeitpunkt ein Anspruch auf Rente aus der gesetzlichen Rentenversicherung bestand</w:t>
      </w:r>
      <w:r w:rsidR="00A37962">
        <w:rPr>
          <w:rFonts w:ascii="Arial" w:eastAsia="Calibri" w:hAnsi="Arial" w:cs="Arial"/>
        </w:rPr>
        <w:t>.</w:t>
      </w:r>
    </w:p>
    <w:p w:rsidR="00777671" w:rsidRPr="00777671" w:rsidRDefault="00777671" w:rsidP="00DB4E37">
      <w:pPr>
        <w:pStyle w:val="Listenabsatz"/>
        <w:numPr>
          <w:ilvl w:val="0"/>
          <w:numId w:val="4"/>
        </w:numPr>
        <w:autoSpaceDE w:val="0"/>
        <w:autoSpaceDN w:val="0"/>
        <w:spacing w:after="0" w:line="240" w:lineRule="atLeast"/>
        <w:contextualSpacing w:val="0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>am 30. Juni 2022 nur deshalb nicht beschäftigt und tätig sind, weil sie Krankengeld, Krankentagegeld, Verletztengeld, Versorgungskrankengeld, Übergangsgeld, Pflegeunterstützungsgeld oder Mutterschaftsgeld beziehen oder nach den gesetzlichen Vorschri</w:t>
      </w:r>
      <w:r w:rsidR="009C5B66">
        <w:rPr>
          <w:rFonts w:ascii="Arial" w:eastAsia="Calibri" w:hAnsi="Arial" w:cs="Arial"/>
        </w:rPr>
        <w:t>ften Erziehungsgeld oder Eltern</w:t>
      </w:r>
      <w:r w:rsidRPr="00777671">
        <w:rPr>
          <w:rFonts w:ascii="Arial" w:eastAsia="Calibri" w:hAnsi="Arial" w:cs="Arial"/>
        </w:rPr>
        <w:t xml:space="preserve">geld beziehen oder Elternzeit in Anspruch nehmen oder Wehrdienst oder Zivildienst leisten. </w:t>
      </w:r>
    </w:p>
    <w:p w:rsidR="00777671" w:rsidRPr="00777671" w:rsidRDefault="00777671" w:rsidP="00DB4E37">
      <w:pPr>
        <w:numPr>
          <w:ilvl w:val="0"/>
          <w:numId w:val="2"/>
        </w:numPr>
        <w:autoSpaceDE w:val="0"/>
        <w:autoSpaceDN w:val="0"/>
        <w:spacing w:after="0" w:line="240" w:lineRule="atLeast"/>
        <w:ind w:left="357" w:hanging="357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>Keine Sonderleistung erhalten Beschäftigte, die aufgrund eines Tätigkeitsverbots nach § 20a Absatz 5 des Infektionsschutzgesetzes zum Stichtag am 30. Juni 2022 zwar beschäftigt, aber nicht tatsächlich tätig sind.</w:t>
      </w:r>
    </w:p>
    <w:p w:rsidR="00777671" w:rsidRPr="00777671" w:rsidRDefault="00777671" w:rsidP="00DB4E37">
      <w:pPr>
        <w:numPr>
          <w:ilvl w:val="0"/>
          <w:numId w:val="2"/>
        </w:numPr>
        <w:autoSpaceDE w:val="0"/>
        <w:autoSpaceDN w:val="0"/>
        <w:spacing w:after="0" w:line="240" w:lineRule="atLeast"/>
        <w:ind w:left="357" w:hanging="357"/>
        <w:rPr>
          <w:rFonts w:ascii="Arial" w:eastAsia="Calibri" w:hAnsi="Arial" w:cs="Arial"/>
          <w:lang w:eastAsia="de-DE"/>
        </w:rPr>
      </w:pPr>
      <w:r w:rsidRPr="00777671">
        <w:rPr>
          <w:rFonts w:ascii="Arial" w:eastAsia="Calibri" w:hAnsi="Arial" w:cs="Arial"/>
        </w:rPr>
        <w:t xml:space="preserve">Konkret sieht dies wie folgt aus. Es erhalten </w:t>
      </w:r>
    </w:p>
    <w:p w:rsidR="00777671" w:rsidRPr="00777671" w:rsidRDefault="00777671" w:rsidP="00DB4E37">
      <w:pPr>
        <w:numPr>
          <w:ilvl w:val="0"/>
          <w:numId w:val="3"/>
        </w:numPr>
        <w:autoSpaceDE w:val="0"/>
        <w:autoSpaceDN w:val="0"/>
        <w:spacing w:after="0" w:line="240" w:lineRule="atLeast"/>
        <w:ind w:left="924" w:hanging="357"/>
        <w:rPr>
          <w:rFonts w:ascii="Arial" w:eastAsia="Calibri" w:hAnsi="Arial" w:cs="Arial"/>
          <w:lang w:eastAsia="de-DE"/>
        </w:rPr>
      </w:pPr>
      <w:r w:rsidRPr="00777671">
        <w:rPr>
          <w:rFonts w:ascii="Arial" w:eastAsia="Calibri" w:hAnsi="Arial" w:cs="Arial"/>
          <w:lang w:eastAsia="de-DE"/>
        </w:rPr>
        <w:t xml:space="preserve">Vollzeitkräfte, die Leistungen nach dem SGB XI oder im ambulanten Bereich nach dem SGB V durch die direkte Pflege und Betreuung von Pflegebedürftigen erbringen, bis zu 550 Euro, </w:t>
      </w:r>
    </w:p>
    <w:p w:rsidR="00777671" w:rsidRPr="00777671" w:rsidRDefault="00777671" w:rsidP="00DB4E37">
      <w:pPr>
        <w:numPr>
          <w:ilvl w:val="0"/>
          <w:numId w:val="3"/>
        </w:numPr>
        <w:autoSpaceDE w:val="0"/>
        <w:autoSpaceDN w:val="0"/>
        <w:spacing w:after="0" w:line="240" w:lineRule="atLeast"/>
        <w:ind w:left="924" w:hanging="357"/>
        <w:rPr>
          <w:rFonts w:ascii="Arial" w:eastAsia="Calibri" w:hAnsi="Arial" w:cs="Arial"/>
          <w:lang w:eastAsia="de-DE"/>
        </w:rPr>
      </w:pPr>
      <w:r w:rsidRPr="00777671">
        <w:rPr>
          <w:rFonts w:ascii="Arial" w:eastAsia="Calibri" w:hAnsi="Arial" w:cs="Arial"/>
          <w:lang w:eastAsia="de-DE"/>
        </w:rPr>
        <w:lastRenderedPageBreak/>
        <w:t>Personal, das mindestens 25 Prozent der Arbeitszeit in der direkten Pflege / Betreuung tätig ist (zum Beispiel in Verwaltung, Haustechnik, Küche) bis zu 370 Euro,</w:t>
      </w:r>
    </w:p>
    <w:p w:rsidR="00777671" w:rsidRPr="00777671" w:rsidRDefault="00777671" w:rsidP="00DB4E37">
      <w:pPr>
        <w:numPr>
          <w:ilvl w:val="0"/>
          <w:numId w:val="3"/>
        </w:numPr>
        <w:autoSpaceDE w:val="0"/>
        <w:autoSpaceDN w:val="0"/>
        <w:spacing w:after="0" w:line="240" w:lineRule="atLeast"/>
        <w:ind w:left="924" w:hanging="357"/>
        <w:rPr>
          <w:rFonts w:ascii="Arial" w:eastAsia="Calibri" w:hAnsi="Arial" w:cs="Arial"/>
          <w:lang w:eastAsia="de-DE"/>
        </w:rPr>
      </w:pPr>
      <w:r w:rsidRPr="00777671">
        <w:rPr>
          <w:rFonts w:ascii="Arial" w:eastAsia="Calibri" w:hAnsi="Arial" w:cs="Arial"/>
          <w:lang w:eastAsia="de-DE"/>
        </w:rPr>
        <w:t>Azubis bis zu 330 Euro,</w:t>
      </w:r>
    </w:p>
    <w:p w:rsidR="00777671" w:rsidRPr="00777671" w:rsidRDefault="00777671" w:rsidP="00DB4E37">
      <w:pPr>
        <w:numPr>
          <w:ilvl w:val="0"/>
          <w:numId w:val="3"/>
        </w:numPr>
        <w:autoSpaceDE w:val="0"/>
        <w:autoSpaceDN w:val="0"/>
        <w:spacing w:after="0" w:line="240" w:lineRule="atLeast"/>
        <w:ind w:left="924" w:hanging="357"/>
        <w:rPr>
          <w:rFonts w:ascii="Arial" w:eastAsia="Calibri" w:hAnsi="Arial" w:cs="Arial"/>
          <w:lang w:eastAsia="de-DE"/>
        </w:rPr>
      </w:pPr>
      <w:r w:rsidRPr="00777671">
        <w:rPr>
          <w:rFonts w:ascii="Arial" w:eastAsia="Calibri" w:hAnsi="Arial" w:cs="Arial"/>
          <w:lang w:eastAsia="de-DE"/>
        </w:rPr>
        <w:t xml:space="preserve">Helfer im Freiwilligendienst oder im Freiwilligen Sozialen Jahr (FSJ) 60 Euro, </w:t>
      </w:r>
    </w:p>
    <w:p w:rsidR="00777671" w:rsidRPr="00777671" w:rsidRDefault="00777671" w:rsidP="00DB4E37">
      <w:pPr>
        <w:numPr>
          <w:ilvl w:val="0"/>
          <w:numId w:val="3"/>
        </w:numPr>
        <w:autoSpaceDE w:val="0"/>
        <w:autoSpaceDN w:val="0"/>
        <w:spacing w:after="0" w:line="240" w:lineRule="atLeast"/>
        <w:ind w:left="924" w:hanging="357"/>
        <w:rPr>
          <w:rFonts w:ascii="Arial" w:eastAsia="Calibri" w:hAnsi="Arial" w:cs="Arial"/>
          <w:lang w:eastAsia="de-DE"/>
        </w:rPr>
      </w:pPr>
      <w:r w:rsidRPr="00777671">
        <w:rPr>
          <w:rFonts w:ascii="Arial" w:eastAsia="Calibri" w:hAnsi="Arial" w:cs="Arial"/>
          <w:lang w:eastAsia="de-DE"/>
        </w:rPr>
        <w:t>sonstige Beschäftigte bis zu 190 Euro.</w:t>
      </w:r>
    </w:p>
    <w:p w:rsidR="00777671" w:rsidRPr="00777671" w:rsidRDefault="00777671" w:rsidP="00DB4E37">
      <w:pPr>
        <w:pStyle w:val="Listenabsatz"/>
        <w:numPr>
          <w:ilvl w:val="0"/>
          <w:numId w:val="5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 xml:space="preserve">Die zugelassenen Pflegeeinrichtungen und die Arbeitgeber im Sinne von Absatz 1 Satz 2 erhalten </w:t>
      </w:r>
      <w:r w:rsidRPr="00777671">
        <w:rPr>
          <w:rFonts w:ascii="Arial" w:eastAsia="Calibri" w:hAnsi="Arial" w:cs="Arial"/>
          <w:b/>
        </w:rPr>
        <w:t>im Wege der Vorauszahlung</w:t>
      </w:r>
      <w:r w:rsidRPr="00777671">
        <w:rPr>
          <w:rFonts w:ascii="Arial" w:eastAsia="Calibri" w:hAnsi="Arial" w:cs="Arial"/>
        </w:rPr>
        <w:t xml:space="preserve"> von der sozialen Pflegeversicherung den Betrag erstattet, den sie für die Auszahlung genannten Corona-Pflegeboni benötigen.</w:t>
      </w:r>
    </w:p>
    <w:p w:rsidR="00777671" w:rsidRPr="00777671" w:rsidRDefault="00777671" w:rsidP="00DB4E37">
      <w:pPr>
        <w:pStyle w:val="Listenabsatz"/>
        <w:numPr>
          <w:ilvl w:val="0"/>
          <w:numId w:val="5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  <w:b/>
        </w:rPr>
      </w:pPr>
      <w:r w:rsidRPr="00777671">
        <w:rPr>
          <w:rFonts w:ascii="Arial" w:eastAsia="Calibri" w:hAnsi="Arial" w:cs="Arial"/>
        </w:rPr>
        <w:t>Die Pflegeeinrichtungen und die Arbeitgeber im Sinne von Absatz 1 Satz 2 melden den Pflegekassen den Betrag, den sie für die Auszahlung der in den Absätzen 2 bis 4 und 6 genannten Corona-Pflegeboni benötigen</w:t>
      </w:r>
      <w:r w:rsidRPr="00777671">
        <w:rPr>
          <w:rFonts w:ascii="Arial" w:eastAsia="Calibri" w:hAnsi="Arial" w:cs="Arial"/>
          <w:b/>
        </w:rPr>
        <w:t>, bis spätestens 31. Juli 2022</w:t>
      </w:r>
      <w:r w:rsidR="009C5B66">
        <w:rPr>
          <w:rFonts w:ascii="Arial" w:eastAsia="Calibri" w:hAnsi="Arial" w:cs="Arial"/>
          <w:b/>
        </w:rPr>
        <w:t>.</w:t>
      </w:r>
    </w:p>
    <w:p w:rsidR="00777671" w:rsidRPr="00777671" w:rsidRDefault="00777671" w:rsidP="00DB4E37">
      <w:pPr>
        <w:pStyle w:val="Listenabsatz"/>
        <w:numPr>
          <w:ilvl w:val="0"/>
          <w:numId w:val="5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  <w:b/>
        </w:rPr>
      </w:pPr>
      <w:r w:rsidRPr="00777671">
        <w:rPr>
          <w:rFonts w:ascii="Arial" w:eastAsia="Calibri" w:hAnsi="Arial" w:cs="Arial"/>
        </w:rPr>
        <w:t xml:space="preserve">Die Pflegekassen haben für die Sonderzahlung im Jahr 2022 sicherzustellen, dass alle Pflegeeinrichtungen und Arbeitgeber nach Absatz 1 Satz 2 entsprechend der gemeldeten Beträge eine Vorauszahlung in dieser Höhe </w:t>
      </w:r>
      <w:r w:rsidRPr="00777671">
        <w:rPr>
          <w:rFonts w:ascii="Arial" w:eastAsia="Calibri" w:hAnsi="Arial" w:cs="Arial"/>
          <w:b/>
          <w:bCs/>
        </w:rPr>
        <w:t>bis spätestens 1. Oktober 2022</w:t>
      </w:r>
      <w:r w:rsidRPr="00777671">
        <w:rPr>
          <w:rFonts w:ascii="Arial" w:eastAsia="Calibri" w:hAnsi="Arial" w:cs="Arial"/>
        </w:rPr>
        <w:t xml:space="preserve"> erhalten.</w:t>
      </w:r>
    </w:p>
    <w:p w:rsidR="00777671" w:rsidRPr="00777671" w:rsidRDefault="00777671" w:rsidP="00DB4E37">
      <w:pPr>
        <w:pStyle w:val="Listenabsatz"/>
        <w:numPr>
          <w:ilvl w:val="0"/>
          <w:numId w:val="5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  <w:b/>
        </w:rPr>
      </w:pPr>
      <w:r w:rsidRPr="00777671">
        <w:rPr>
          <w:rFonts w:ascii="Arial" w:eastAsia="Calibri" w:hAnsi="Arial" w:cs="Arial"/>
        </w:rPr>
        <w:t xml:space="preserve">Die Auszahlung des jeweiligen Corona-Pflegebonus durch die jeweilige zugelassene Pflegeeinrichtung oder die Arbeitgeber im Sinne von Absatz 1 Satz 2 an ihre Beschäftigten hat </w:t>
      </w:r>
      <w:r w:rsidRPr="00777671">
        <w:rPr>
          <w:rFonts w:ascii="Arial" w:eastAsia="Calibri" w:hAnsi="Arial" w:cs="Arial"/>
          <w:b/>
          <w:bCs/>
        </w:rPr>
        <w:t>unverzüglich nach Erhalt der Vorauszahlung nach Absatz 7, spätestens mit der nächstmöglichen regelmäßigen Entgeltauszahlung, jedenfalls aber bis zum 31. Dezember 2022 zu erfolgen.</w:t>
      </w:r>
    </w:p>
    <w:p w:rsidR="00777671" w:rsidRPr="00777671" w:rsidRDefault="00777671" w:rsidP="00DB4E37">
      <w:pPr>
        <w:pStyle w:val="Listenabsatz"/>
        <w:numPr>
          <w:ilvl w:val="0"/>
          <w:numId w:val="5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  <w:b/>
        </w:rPr>
      </w:pPr>
      <w:r w:rsidRPr="00777671">
        <w:rPr>
          <w:rFonts w:ascii="Arial" w:eastAsia="Calibri" w:hAnsi="Arial" w:cs="Arial"/>
        </w:rPr>
        <w:t xml:space="preserve">Die Pflegeeinrichtungen und die Arbeitgeber im Sinne von Absatz 1 Satz 2 haben den Pflegekassen </w:t>
      </w:r>
      <w:r w:rsidRPr="00777671">
        <w:rPr>
          <w:rFonts w:ascii="Arial" w:eastAsia="Calibri" w:hAnsi="Arial" w:cs="Arial"/>
          <w:b/>
        </w:rPr>
        <w:t xml:space="preserve">bis spätestens 15. Februar 2023 </w:t>
      </w:r>
      <w:r w:rsidRPr="00777671">
        <w:rPr>
          <w:rFonts w:ascii="Arial" w:eastAsia="Calibri" w:hAnsi="Arial" w:cs="Arial"/>
        </w:rPr>
        <w:t xml:space="preserve">die tatsächliche Auszahlungssumme der Corona-Pflegeboni sowie die Zahl der Empfängerinnen und Empfänger anzuzeigen. </w:t>
      </w:r>
    </w:p>
    <w:p w:rsidR="00777671" w:rsidRPr="00777671" w:rsidRDefault="00777671" w:rsidP="00DB4E37">
      <w:pPr>
        <w:pStyle w:val="Listenabsatz"/>
        <w:numPr>
          <w:ilvl w:val="0"/>
          <w:numId w:val="5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777671">
        <w:rPr>
          <w:rFonts w:ascii="Arial" w:eastAsia="Calibri" w:hAnsi="Arial" w:cs="Arial"/>
        </w:rPr>
        <w:t>Der Bund zahlt zur Refinanzierung der durch die Pflegekassen an die zugelassenen Pflegeeinrichtungen und die Arbeitgeber im Sinne von Absatz 1 Satz 2 gezahlten Vorauszahlungen bis zum 1. September 2022 einen Betrag in Höhe von 500 Millionen Euro an den Ausgleichsfonds</w:t>
      </w:r>
      <w:r w:rsidR="0073532E">
        <w:rPr>
          <w:rFonts w:ascii="Arial" w:eastAsia="Calibri" w:hAnsi="Arial" w:cs="Arial"/>
        </w:rPr>
        <w:t>.</w:t>
      </w:r>
    </w:p>
    <w:p w:rsidR="009C5B66" w:rsidRDefault="00777671" w:rsidP="00DB4E37">
      <w:pPr>
        <w:pStyle w:val="Listenabsatz"/>
        <w:numPr>
          <w:ilvl w:val="0"/>
          <w:numId w:val="6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9C5B66">
        <w:rPr>
          <w:rFonts w:ascii="Arial" w:eastAsia="Calibri" w:hAnsi="Arial" w:cs="Arial"/>
        </w:rPr>
        <w:t>Der Spitzenverband Bund der Pflegekassen legt im Benehmen mit den Bundesvereinigungen der Träger stationärer und ambulanter Pflegeeinrichtungen und geeigneten Verbänden der Arbeitgeber im Sinne von Absatz 1 Satz 2 auf Bundesebene unverzüglich das Nähere für das Verfahren einschließlich angemessener Möglichkeiten zur Prüfung, Rückforderung und Aufrechnung durch die Pflegekassen sowie der Information der Beschäftigten und Arbeitnehmer im Sinne von Absatz 1 Satz 2 über ihren Anspruch fest. Die Verfahrensregelungen bedürfen der Zustimmung des Bun</w:t>
      </w:r>
      <w:r w:rsidR="009C5B66" w:rsidRPr="009C5B66">
        <w:rPr>
          <w:rFonts w:ascii="Arial" w:eastAsia="Calibri" w:hAnsi="Arial" w:cs="Arial"/>
        </w:rPr>
        <w:t xml:space="preserve">desministeriums für Gesundheit. </w:t>
      </w:r>
    </w:p>
    <w:p w:rsidR="009C5B66" w:rsidRPr="009C5B66" w:rsidRDefault="009C5B66" w:rsidP="00DB4E37">
      <w:pPr>
        <w:pStyle w:val="Listenabsatz"/>
        <w:numPr>
          <w:ilvl w:val="0"/>
          <w:numId w:val="6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9C5B66">
        <w:rPr>
          <w:rFonts w:ascii="Arial" w:eastAsia="Calibri" w:hAnsi="Arial" w:cs="Arial"/>
        </w:rPr>
        <w:t>Im Wesentlichen erfolgt das Verfahren analog zum Verfahren im Jahr 2020. Die Festlegungen, FAQ und Formulare müssen jedoch aktualisiert werden. (</w:t>
      </w:r>
      <w:r>
        <w:rPr>
          <w:rFonts w:ascii="Arial" w:eastAsia="Calibri" w:hAnsi="Arial" w:cs="Arial"/>
        </w:rPr>
        <w:t xml:space="preserve">siehe </w:t>
      </w:r>
      <w:hyperlink r:id="rId10" w:history="1">
        <w:r w:rsidRPr="009C5B66">
          <w:rPr>
            <w:rStyle w:val="Hyperlink"/>
            <w:rFonts w:ascii="Arial" w:eastAsia="Calibri" w:hAnsi="Arial" w:cs="Arial"/>
          </w:rPr>
          <w:t>https://www.gkv-spitzenverband.de/media/dokumente/pflegeversicherung/richtlinien__vereinbarungen__formulare/2020_06_09_Praemien-Festlegungen_Teil1_150a_Abs7_SGBXI_PE.pdf</w:t>
        </w:r>
      </w:hyperlink>
      <w:r>
        <w:rPr>
          <w:rFonts w:ascii="Arial" w:eastAsia="Calibri" w:hAnsi="Arial" w:cs="Arial"/>
        </w:rPr>
        <w:t xml:space="preserve"> etc.</w:t>
      </w:r>
    </w:p>
    <w:p w:rsidR="008435C4" w:rsidRPr="00E246C6" w:rsidRDefault="00777671" w:rsidP="00264071">
      <w:pPr>
        <w:pStyle w:val="Listenabsatz"/>
        <w:numPr>
          <w:ilvl w:val="0"/>
          <w:numId w:val="6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 w:rsidRPr="00E246C6">
        <w:rPr>
          <w:rFonts w:ascii="Arial" w:eastAsia="Calibri" w:hAnsi="Arial" w:cs="Arial"/>
        </w:rPr>
        <w:t>Aufstockung durch die Länder und Arbeitsgeber ist möglich</w:t>
      </w:r>
      <w:r w:rsidR="0073532E" w:rsidRPr="00E246C6">
        <w:rPr>
          <w:rFonts w:ascii="Arial" w:eastAsia="Calibri" w:hAnsi="Arial" w:cs="Arial"/>
        </w:rPr>
        <w:t>.</w:t>
      </w:r>
      <w:r w:rsidR="009C5B66" w:rsidRPr="00E246C6">
        <w:rPr>
          <w:rFonts w:ascii="Arial" w:eastAsia="Calibri" w:hAnsi="Arial" w:cs="Arial"/>
        </w:rPr>
        <w:t xml:space="preserve"> </w:t>
      </w:r>
    </w:p>
    <w:p w:rsidR="008435C4" w:rsidRPr="00D90F85" w:rsidRDefault="008435C4" w:rsidP="00DB4E37">
      <w:pPr>
        <w:pStyle w:val="Listenabsatz"/>
        <w:numPr>
          <w:ilvl w:val="0"/>
          <w:numId w:val="6"/>
        </w:numPr>
        <w:autoSpaceDE w:val="0"/>
        <w:autoSpaceDN w:val="0"/>
        <w:spacing w:after="0" w:line="240" w:lineRule="atLeast"/>
        <w:ind w:left="357" w:hanging="357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Mit der Beschlussempfehlung wurden nur noch wenige Klarstellungen vorgenommen wie: </w:t>
      </w:r>
      <w:r w:rsidR="00D90F85">
        <w:rPr>
          <w:rFonts w:ascii="Arial" w:eastAsia="Calibri" w:hAnsi="Arial" w:cs="Arial"/>
        </w:rPr>
        <w:t xml:space="preserve">die </w:t>
      </w:r>
      <w:r w:rsidRPr="008435C4">
        <w:rPr>
          <w:rFonts w:ascii="Arial" w:eastAsia="Calibri" w:hAnsi="Arial" w:cs="Arial"/>
        </w:rPr>
        <w:t>Verpflichtung der Pflegekassen, bei einer Aufstockung des Pflegebonus durch die Länder gegen Kostenerstattung das Verfahren für die Länder auch über die Auszahlung des Pflegebonus hinaus zu betreiben</w:t>
      </w:r>
      <w:r w:rsidR="00D90F85">
        <w:rPr>
          <w:rFonts w:ascii="Arial" w:eastAsia="Calibri" w:hAnsi="Arial" w:cs="Arial"/>
        </w:rPr>
        <w:t xml:space="preserve"> und dass d</w:t>
      </w:r>
      <w:r w:rsidRPr="00D90F85">
        <w:rPr>
          <w:rFonts w:ascii="Arial" w:eastAsia="Calibri" w:hAnsi="Arial" w:cs="Arial"/>
        </w:rPr>
        <w:t xml:space="preserve">ie </w:t>
      </w:r>
      <w:r w:rsidR="00D90F85">
        <w:rPr>
          <w:rFonts w:ascii="Arial" w:eastAsia="Calibri" w:hAnsi="Arial" w:cs="Arial"/>
        </w:rPr>
        <w:t xml:space="preserve">Auszahlung des Pflegebonus bei einem Arbeitgeberwechsel </w:t>
      </w:r>
      <w:r w:rsidRPr="00D90F85">
        <w:rPr>
          <w:rFonts w:ascii="Arial" w:eastAsia="Calibri" w:hAnsi="Arial" w:cs="Arial"/>
        </w:rPr>
        <w:t>von dem Arbeitgeber vorgenommen</w:t>
      </w:r>
      <w:r w:rsidR="00D90F85">
        <w:rPr>
          <w:rFonts w:ascii="Arial" w:eastAsia="Calibri" w:hAnsi="Arial" w:cs="Arial"/>
        </w:rPr>
        <w:t xml:space="preserve"> wird</w:t>
      </w:r>
      <w:r w:rsidRPr="00D90F85">
        <w:rPr>
          <w:rFonts w:ascii="Arial" w:eastAsia="Calibri" w:hAnsi="Arial" w:cs="Arial"/>
        </w:rPr>
        <w:t>, bei dem die Beschäftigten zum Stichtag 30. Juni 2022 beschäftigt und tätig sind.</w:t>
      </w:r>
    </w:p>
    <w:p w:rsidR="00D90F85" w:rsidRDefault="00D90F85" w:rsidP="00DB4E37">
      <w:pPr>
        <w:spacing w:after="0" w:line="240" w:lineRule="atLeast"/>
        <w:rPr>
          <w:rFonts w:ascii="Arial" w:hAnsi="Arial" w:cs="Arial"/>
        </w:rPr>
      </w:pPr>
    </w:p>
    <w:p w:rsidR="00DB4E37" w:rsidRPr="005D4072" w:rsidRDefault="00DB4E37" w:rsidP="00DB4E37">
      <w:pPr>
        <w:spacing w:after="0" w:line="240" w:lineRule="atLeast"/>
        <w:rPr>
          <w:rFonts w:ascii="Arial" w:hAnsi="Arial" w:cs="Arial"/>
          <w:i/>
        </w:rPr>
      </w:pPr>
      <w:r>
        <w:rPr>
          <w:rFonts w:ascii="Arial" w:hAnsi="Arial" w:cs="Arial"/>
        </w:rPr>
        <w:t>Inkrafttreten am Tag nach der Verkündung</w:t>
      </w:r>
      <w:r w:rsidRPr="005D4072">
        <w:rPr>
          <w:rFonts w:ascii="Arial" w:hAnsi="Arial" w:cs="Arial"/>
          <w:i/>
        </w:rPr>
        <w:t xml:space="preserve">. </w:t>
      </w:r>
      <w:r w:rsidR="005D4072" w:rsidRPr="005D4072">
        <w:rPr>
          <w:rFonts w:ascii="Arial" w:hAnsi="Arial" w:cs="Arial"/>
          <w:i/>
        </w:rPr>
        <w:t xml:space="preserve">(Details siehe </w:t>
      </w:r>
      <w:r w:rsidR="005D4072" w:rsidRPr="005D4072">
        <w:rPr>
          <w:rFonts w:ascii="Arial" w:hAnsi="Arial" w:cs="Arial"/>
          <w:i/>
          <w:color w:val="000000"/>
          <w:shd w:val="clear" w:color="auto" w:fill="FFFFFF"/>
        </w:rPr>
        <w:t xml:space="preserve">Drucksache </w:t>
      </w:r>
      <w:hyperlink r:id="rId11" w:tgtFrame="_blank" w:tooltip="Die PDF-Datei Drucksache 20/1909 öffnet sich in einem neuen Fenster" w:history="1">
        <w:r w:rsidR="005D4072" w:rsidRPr="005D4072">
          <w:rPr>
            <w:rStyle w:val="Hyperlink"/>
            <w:rFonts w:ascii="Arial" w:hAnsi="Arial" w:cs="Arial"/>
            <w:i/>
            <w:color w:val="31505F"/>
            <w:shd w:val="clear" w:color="auto" w:fill="FFFFFF"/>
          </w:rPr>
          <w:t>20/1909</w:t>
        </w:r>
      </w:hyperlink>
      <w:r w:rsidR="005D4072" w:rsidRPr="005D4072">
        <w:rPr>
          <w:rStyle w:val="Hyperlink"/>
          <w:rFonts w:ascii="Arial" w:hAnsi="Arial" w:cs="Arial"/>
          <w:i/>
          <w:color w:val="31505F"/>
          <w:shd w:val="clear" w:color="auto" w:fill="FFFFFF"/>
        </w:rPr>
        <w:t xml:space="preserve"> </w:t>
      </w:r>
      <w:r w:rsidR="005D4072" w:rsidRPr="005D4072">
        <w:rPr>
          <w:rStyle w:val="Hyperlink"/>
          <w:rFonts w:ascii="Arial" w:hAnsi="Arial" w:cs="Arial"/>
          <w:i/>
          <w:color w:val="auto"/>
          <w:u w:val="none"/>
          <w:shd w:val="clear" w:color="auto" w:fill="FFFFFF"/>
        </w:rPr>
        <w:t xml:space="preserve">und Synopse zum § 150a SGB XI) </w:t>
      </w:r>
      <w:bookmarkStart w:id="0" w:name="_GoBack"/>
      <w:bookmarkEnd w:id="0"/>
    </w:p>
    <w:sectPr w:rsidR="00DB4E37" w:rsidRPr="005D407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08" w:rsidRDefault="00E25008" w:rsidP="00E25008">
      <w:pPr>
        <w:spacing w:after="0" w:line="240" w:lineRule="auto"/>
      </w:pPr>
      <w:r>
        <w:separator/>
      </w:r>
    </w:p>
  </w:endnote>
  <w:endnote w:type="continuationSeparator" w:id="0">
    <w:p w:rsidR="00E25008" w:rsidRDefault="00E25008" w:rsidP="00E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08" w:rsidRDefault="00E25008">
    <w:pPr>
      <w:pStyle w:val="Fuzeile"/>
      <w:jc w:val="right"/>
    </w:pPr>
  </w:p>
  <w:p w:rsidR="003D5393" w:rsidRPr="004B1822" w:rsidRDefault="003D5393" w:rsidP="003D5393">
    <w:pPr>
      <w:autoSpaceDE w:val="0"/>
      <w:autoSpaceDN w:val="0"/>
      <w:adjustRightInd w:val="0"/>
      <w:spacing w:after="0" w:line="240" w:lineRule="auto"/>
      <w:rPr>
        <w:rFonts w:ascii="Arial" w:eastAsia="Calibri" w:hAnsi="Arial" w:cs="Arial"/>
        <w:i/>
        <w:iCs/>
        <w:sz w:val="16"/>
        <w:szCs w:val="16"/>
      </w:rPr>
    </w:pPr>
  </w:p>
  <w:p w:rsidR="003D5393" w:rsidRPr="004B1822" w:rsidRDefault="003D5393" w:rsidP="003D5393">
    <w:pPr>
      <w:autoSpaceDE w:val="0"/>
      <w:autoSpaceDN w:val="0"/>
      <w:adjustRightInd w:val="0"/>
      <w:spacing w:after="0" w:line="240" w:lineRule="auto"/>
      <w:rPr>
        <w:rFonts w:ascii="Arial" w:eastAsia="Calibri" w:hAnsi="Arial" w:cs="Times New Roman"/>
        <w:i/>
        <w:sz w:val="18"/>
        <w:szCs w:val="20"/>
      </w:rPr>
    </w:pPr>
    <w:r w:rsidRPr="004B1822">
      <w:rPr>
        <w:rFonts w:ascii="Arial" w:eastAsia="Calibri" w:hAnsi="Arial" w:cs="Arial"/>
        <w:i/>
        <w:iCs/>
        <w:sz w:val="16"/>
        <w:szCs w:val="16"/>
      </w:rPr>
      <w:t xml:space="preserve">Diakonie Deutschland – Evangelisches Werk für Diakonie und Entwicklung /Zentrum GRP/Arbeitsfeld </w:t>
    </w:r>
    <w:r w:rsidRPr="004B1822">
      <w:rPr>
        <w:rFonts w:ascii="Arial" w:eastAsia="Times New Roman" w:hAnsi="Arial" w:cs="Arial"/>
        <w:i/>
        <w:noProof/>
        <w:sz w:val="16"/>
        <w:szCs w:val="16"/>
        <w:lang w:eastAsia="de-DE"/>
      </w:rPr>
      <w:t xml:space="preserve">ambulante </w:t>
    </w:r>
    <w:r w:rsidR="005D4072">
      <w:rPr>
        <w:rFonts w:ascii="Arial" w:eastAsia="Times New Roman" w:hAnsi="Arial" w:cs="Arial"/>
        <w:i/>
        <w:noProof/>
        <w:sz w:val="16"/>
        <w:szCs w:val="16"/>
        <w:lang w:eastAsia="de-DE"/>
      </w:rPr>
      <w:br/>
    </w:r>
    <w:r w:rsidRPr="004B1822">
      <w:rPr>
        <w:rFonts w:ascii="Arial" w:eastAsia="Times New Roman" w:hAnsi="Arial" w:cs="Arial"/>
        <w:i/>
        <w:noProof/>
        <w:sz w:val="16"/>
        <w:szCs w:val="16"/>
        <w:lang w:eastAsia="de-DE"/>
      </w:rPr>
      <w:t xml:space="preserve">gesundheits- und sozialpflegerische Dienste/ambulante Altenhilfe </w:t>
    </w:r>
    <w:r w:rsidRPr="004B1822">
      <w:rPr>
        <w:rFonts w:ascii="Arial" w:eastAsia="Times New Roman" w:hAnsi="Arial" w:cs="Arial"/>
        <w:i/>
        <w:noProof/>
        <w:sz w:val="16"/>
        <w:szCs w:val="16"/>
        <w:lang w:eastAsia="de-DE"/>
      </w:rPr>
      <w:tab/>
    </w:r>
    <w:r w:rsidR="005D4072">
      <w:rPr>
        <w:rFonts w:ascii="Arial" w:eastAsia="Times New Roman" w:hAnsi="Arial" w:cs="Arial"/>
        <w:i/>
        <w:noProof/>
        <w:sz w:val="16"/>
        <w:szCs w:val="16"/>
        <w:lang w:eastAsia="de-DE"/>
      </w:rPr>
      <w:tab/>
    </w:r>
    <w:r w:rsidR="005D4072">
      <w:rPr>
        <w:rFonts w:ascii="Arial" w:eastAsia="Times New Roman" w:hAnsi="Arial" w:cs="Arial"/>
        <w:i/>
        <w:noProof/>
        <w:sz w:val="16"/>
        <w:szCs w:val="16"/>
        <w:lang w:eastAsia="de-DE"/>
      </w:rPr>
      <w:tab/>
    </w:r>
    <w:r w:rsidR="005D4072">
      <w:rPr>
        <w:rFonts w:ascii="Arial" w:eastAsia="Times New Roman" w:hAnsi="Arial" w:cs="Arial"/>
        <w:i/>
        <w:noProof/>
        <w:sz w:val="16"/>
        <w:szCs w:val="16"/>
        <w:lang w:eastAsia="de-DE"/>
      </w:rPr>
      <w:tab/>
    </w:r>
    <w:r w:rsidR="005D4072">
      <w:rPr>
        <w:rFonts w:ascii="Arial" w:eastAsia="Times New Roman" w:hAnsi="Arial" w:cs="Arial"/>
        <w:i/>
        <w:noProof/>
        <w:sz w:val="16"/>
        <w:szCs w:val="16"/>
        <w:lang w:eastAsia="de-DE"/>
      </w:rPr>
      <w:tab/>
    </w:r>
    <w:r w:rsidRPr="004B1822">
      <w:rPr>
        <w:rFonts w:ascii="Arial" w:eastAsia="Calibri" w:hAnsi="Arial" w:cs="Times New Roman"/>
        <w:i/>
        <w:sz w:val="18"/>
        <w:szCs w:val="20"/>
      </w:rPr>
      <w:tab/>
    </w:r>
    <w:r w:rsidRPr="004B1822">
      <w:rPr>
        <w:rFonts w:ascii="Arial" w:eastAsia="Calibri" w:hAnsi="Arial" w:cs="Times New Roman"/>
        <w:i/>
        <w:sz w:val="18"/>
        <w:szCs w:val="20"/>
      </w:rPr>
      <w:fldChar w:fldCharType="begin"/>
    </w:r>
    <w:r w:rsidRPr="004B1822">
      <w:rPr>
        <w:rFonts w:ascii="Arial" w:eastAsia="Calibri" w:hAnsi="Arial" w:cs="Times New Roman"/>
        <w:i/>
        <w:sz w:val="18"/>
        <w:szCs w:val="20"/>
      </w:rPr>
      <w:instrText xml:space="preserve"> COMMENTS   \* MERGEFORMAT </w:instrText>
    </w:r>
    <w:r w:rsidRPr="004B1822">
      <w:rPr>
        <w:rFonts w:ascii="Arial" w:eastAsia="Calibri" w:hAnsi="Arial" w:cs="Times New Roman"/>
        <w:i/>
        <w:sz w:val="18"/>
        <w:szCs w:val="20"/>
      </w:rPr>
      <w:fldChar w:fldCharType="end"/>
    </w:r>
    <w:r w:rsidRPr="004B1822">
      <w:rPr>
        <w:rFonts w:ascii="Arial" w:eastAsia="Calibri" w:hAnsi="Arial" w:cs="Times New Roman"/>
        <w:i/>
        <w:sz w:val="18"/>
        <w:szCs w:val="20"/>
      </w:rPr>
      <w:fldChar w:fldCharType="begin"/>
    </w:r>
    <w:r w:rsidRPr="004B1822">
      <w:rPr>
        <w:rFonts w:ascii="Arial" w:eastAsia="Calibri" w:hAnsi="Arial" w:cs="Times New Roman"/>
        <w:i/>
        <w:sz w:val="18"/>
        <w:szCs w:val="20"/>
      </w:rPr>
      <w:instrText xml:space="preserve"> PAGE   \* MERGEFORMAT </w:instrText>
    </w:r>
    <w:r w:rsidRPr="004B1822">
      <w:rPr>
        <w:rFonts w:ascii="Arial" w:eastAsia="Calibri" w:hAnsi="Arial" w:cs="Times New Roman"/>
        <w:i/>
        <w:sz w:val="18"/>
        <w:szCs w:val="20"/>
      </w:rPr>
      <w:fldChar w:fldCharType="separate"/>
    </w:r>
    <w:r w:rsidR="00E246C6">
      <w:rPr>
        <w:rFonts w:ascii="Arial" w:eastAsia="Calibri" w:hAnsi="Arial" w:cs="Times New Roman"/>
        <w:i/>
        <w:noProof/>
        <w:sz w:val="18"/>
        <w:szCs w:val="20"/>
      </w:rPr>
      <w:t>2</w:t>
    </w:r>
    <w:r w:rsidRPr="004B1822">
      <w:rPr>
        <w:rFonts w:ascii="Arial" w:eastAsia="Calibri" w:hAnsi="Arial" w:cs="Times New Roman"/>
        <w:i/>
        <w:sz w:val="18"/>
        <w:szCs w:val="20"/>
      </w:rPr>
      <w:fldChar w:fldCharType="end"/>
    </w:r>
  </w:p>
  <w:p w:rsidR="00E25008" w:rsidRDefault="00E25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08" w:rsidRDefault="00E25008" w:rsidP="00E25008">
      <w:pPr>
        <w:spacing w:after="0" w:line="240" w:lineRule="auto"/>
      </w:pPr>
      <w:r>
        <w:separator/>
      </w:r>
    </w:p>
  </w:footnote>
  <w:footnote w:type="continuationSeparator" w:id="0">
    <w:p w:rsidR="00E25008" w:rsidRDefault="00E25008" w:rsidP="00E25008">
      <w:pPr>
        <w:spacing w:after="0" w:line="240" w:lineRule="auto"/>
      </w:pPr>
      <w:r>
        <w:continuationSeparator/>
      </w:r>
    </w:p>
  </w:footnote>
  <w:footnote w:id="1">
    <w:p w:rsidR="00E94310" w:rsidRDefault="00E94310">
      <w:pPr>
        <w:pStyle w:val="Funotentext"/>
      </w:pPr>
      <w:r>
        <w:rPr>
          <w:rStyle w:val="Funotenzeichen"/>
        </w:rPr>
        <w:footnoteRef/>
      </w:r>
      <w:r>
        <w:t xml:space="preserve"> Die Einbeziehung der stationären Hospize wurde 2020 im Rahmen der FAQ geklärt.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3" w:rsidRDefault="003D5393">
    <w:pPr>
      <w:pStyle w:val="Kopfzeile"/>
    </w:pPr>
    <w:r>
      <w:rPr>
        <w:noProof/>
        <w:lang w:eastAsia="de-DE"/>
      </w:rPr>
      <w:drawing>
        <wp:inline distT="0" distB="0" distL="0" distR="0" wp14:anchorId="51E47241">
          <wp:extent cx="1676400" cy="5810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393" w:rsidRDefault="003D53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B93"/>
    <w:multiLevelType w:val="hybridMultilevel"/>
    <w:tmpl w:val="9A02E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45A"/>
    <w:multiLevelType w:val="hybridMultilevel"/>
    <w:tmpl w:val="D844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C48F6"/>
    <w:multiLevelType w:val="hybridMultilevel"/>
    <w:tmpl w:val="478E7EFA"/>
    <w:lvl w:ilvl="0" w:tplc="663C94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D93ED5"/>
    <w:multiLevelType w:val="hybridMultilevel"/>
    <w:tmpl w:val="A832F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031"/>
    <w:multiLevelType w:val="hybridMultilevel"/>
    <w:tmpl w:val="1400A1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0095"/>
    <w:multiLevelType w:val="hybridMultilevel"/>
    <w:tmpl w:val="EDA8D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054B"/>
    <w:multiLevelType w:val="hybridMultilevel"/>
    <w:tmpl w:val="63D0B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07"/>
    <w:rsid w:val="00001FE5"/>
    <w:rsid w:val="00092C79"/>
    <w:rsid w:val="001E1FD5"/>
    <w:rsid w:val="00315C69"/>
    <w:rsid w:val="00323B8A"/>
    <w:rsid w:val="003D5393"/>
    <w:rsid w:val="003F4536"/>
    <w:rsid w:val="00401A10"/>
    <w:rsid w:val="00465C7A"/>
    <w:rsid w:val="004728D0"/>
    <w:rsid w:val="00547056"/>
    <w:rsid w:val="005C3C5A"/>
    <w:rsid w:val="005D4072"/>
    <w:rsid w:val="006317C5"/>
    <w:rsid w:val="0073532E"/>
    <w:rsid w:val="00750FDA"/>
    <w:rsid w:val="00777671"/>
    <w:rsid w:val="007A318A"/>
    <w:rsid w:val="00805907"/>
    <w:rsid w:val="008435C4"/>
    <w:rsid w:val="00883B84"/>
    <w:rsid w:val="00964B6C"/>
    <w:rsid w:val="009C5B66"/>
    <w:rsid w:val="009F171B"/>
    <w:rsid w:val="00A37962"/>
    <w:rsid w:val="00A7010F"/>
    <w:rsid w:val="00B321B0"/>
    <w:rsid w:val="00B725DF"/>
    <w:rsid w:val="00BB6569"/>
    <w:rsid w:val="00D63D99"/>
    <w:rsid w:val="00D90F85"/>
    <w:rsid w:val="00D945AF"/>
    <w:rsid w:val="00DB4E37"/>
    <w:rsid w:val="00E246C6"/>
    <w:rsid w:val="00E25008"/>
    <w:rsid w:val="00E94310"/>
    <w:rsid w:val="00EC2525"/>
    <w:rsid w:val="00F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426CE7"/>
  <w15:chartTrackingRefBased/>
  <w15:docId w15:val="{0BA4D847-1197-4057-9451-6845D41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59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7671"/>
    <w:pPr>
      <w:ind w:left="720"/>
      <w:contextualSpacing/>
    </w:pPr>
  </w:style>
  <w:style w:type="paragraph" w:customStyle="1" w:styleId="xmsonormal">
    <w:name w:val="x_msonormal"/>
    <w:basedOn w:val="Standard"/>
    <w:rsid w:val="00D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listparagraph">
    <w:name w:val="x_msolistparagraph"/>
    <w:basedOn w:val="Standard"/>
    <w:rsid w:val="00D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008"/>
  </w:style>
  <w:style w:type="paragraph" w:styleId="Fuzeile">
    <w:name w:val="footer"/>
    <w:basedOn w:val="Standard"/>
    <w:link w:val="FuzeileZchn"/>
    <w:uiPriority w:val="99"/>
    <w:unhideWhenUsed/>
    <w:rsid w:val="00E2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008"/>
  </w:style>
  <w:style w:type="character" w:styleId="BesuchterLink">
    <w:name w:val="FollowedHyperlink"/>
    <w:basedOn w:val="Absatz-Standardschriftart"/>
    <w:uiPriority w:val="99"/>
    <w:semiHidden/>
    <w:unhideWhenUsed/>
    <w:rsid w:val="00E9431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43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43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431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erver.bundestag.de/btd/20/013/200133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erver.bundestag.de/btd/20/019/20019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kv-spitzenverband.de/media/dokumente/pflegeversicherung/richtlinien__vereinbarungen__formulare/2020_06_09_Praemien-Festlegungen_Teil1_150a_Abs7_SGBXI_P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erver.bundestag.de/btd/20/019/200190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D472-9CC7-4591-BBE2-46B44A7E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Stempfle, Erika</dc:creator>
  <cp:keywords/>
  <dc:description/>
  <cp:lastModifiedBy>erika.stempfle</cp:lastModifiedBy>
  <cp:revision>3</cp:revision>
  <cp:lastPrinted>2022-05-19T06:00:00Z</cp:lastPrinted>
  <dcterms:created xsi:type="dcterms:W3CDTF">2022-05-22T12:31:00Z</dcterms:created>
  <dcterms:modified xsi:type="dcterms:W3CDTF">2022-05-22T12:33:00Z</dcterms:modified>
</cp:coreProperties>
</file>