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0B" w:rsidRPr="0026180B" w:rsidRDefault="0026180B" w:rsidP="0026180B">
      <w:pPr>
        <w:spacing w:after="0" w:line="240" w:lineRule="atLeast"/>
        <w:rPr>
          <w:rFonts w:ascii="Arial" w:hAnsi="Arial" w:cs="Arial"/>
          <w:b/>
        </w:rPr>
      </w:pPr>
      <w:r w:rsidRPr="0026180B">
        <w:rPr>
          <w:rFonts w:ascii="Arial" w:hAnsi="Arial" w:cs="Arial"/>
          <w:b/>
        </w:rPr>
        <w:t>Gesetz zur Stärkung des Schutzes der Bevölkerung und insbesondere vulnerabler Personengruppen vor COVID-19</w:t>
      </w:r>
      <w:r>
        <w:rPr>
          <w:rFonts w:ascii="Arial" w:hAnsi="Arial" w:cs="Arial"/>
          <w:b/>
        </w:rPr>
        <w:t xml:space="preserve">/Corona-Regelungen </w:t>
      </w:r>
    </w:p>
    <w:p w:rsidR="0026180B" w:rsidRDefault="005101D1" w:rsidP="0026180B">
      <w:pPr>
        <w:spacing w:after="0" w:line="240" w:lineRule="atLeast"/>
        <w:rPr>
          <w:rFonts w:ascii="Arial" w:hAnsi="Arial" w:cs="Arial"/>
          <w:b/>
        </w:rPr>
      </w:pPr>
      <w:r w:rsidRPr="005101D1">
        <w:rPr>
          <w:rFonts w:ascii="Arial" w:hAnsi="Arial" w:cs="Arial"/>
          <w:b/>
          <w:highlight w:val="yellow"/>
        </w:rPr>
        <w:t>Stand: 29.09.2022</w:t>
      </w:r>
      <w:bookmarkStart w:id="0" w:name="_GoBack"/>
      <w:bookmarkEnd w:id="0"/>
    </w:p>
    <w:p w:rsidR="0026180B" w:rsidRDefault="0026180B" w:rsidP="0026180B">
      <w:pPr>
        <w:spacing w:after="0" w:line="240" w:lineRule="atLeast"/>
        <w:rPr>
          <w:rFonts w:ascii="Arial" w:hAnsi="Arial" w:cs="Arial"/>
          <w:b/>
        </w:rPr>
      </w:pPr>
    </w:p>
    <w:p w:rsidR="0026180B" w:rsidRDefault="0026180B" w:rsidP="0026180B">
      <w:pPr>
        <w:spacing w:after="0" w:line="240" w:lineRule="atLeast"/>
        <w:rPr>
          <w:rFonts w:ascii="Arial" w:hAnsi="Arial" w:cs="Arial"/>
          <w:b/>
        </w:rPr>
      </w:pPr>
    </w:p>
    <w:p w:rsidR="005518B7" w:rsidRDefault="00570023" w:rsidP="0026180B">
      <w:pPr>
        <w:spacing w:after="0" w:line="240" w:lineRule="atLeast"/>
        <w:rPr>
          <w:rFonts w:ascii="Arial" w:hAnsi="Arial" w:cs="Arial"/>
          <w:b/>
        </w:rPr>
      </w:pPr>
      <w:r>
        <w:rPr>
          <w:rFonts w:ascii="Arial" w:hAnsi="Arial" w:cs="Arial"/>
          <w:b/>
        </w:rPr>
        <w:t xml:space="preserve">Ambulante Pflege </w:t>
      </w:r>
    </w:p>
    <w:p w:rsidR="00143401" w:rsidRDefault="00143401" w:rsidP="004D6C02">
      <w:pPr>
        <w:spacing w:after="0" w:line="240" w:lineRule="atLeast"/>
        <w:rPr>
          <w:rFonts w:ascii="Arial" w:hAnsi="Arial" w:cs="Arial"/>
          <w:color w:val="000000" w:themeColor="text1"/>
        </w:rPr>
      </w:pPr>
    </w:p>
    <w:p w:rsidR="00C723FB" w:rsidRDefault="00C723FB" w:rsidP="004D6C02">
      <w:pPr>
        <w:spacing w:after="0" w:line="240" w:lineRule="atLeast"/>
        <w:rPr>
          <w:rFonts w:ascii="Arial" w:hAnsi="Arial" w:cs="Arial"/>
          <w:color w:val="000000" w:themeColor="text1"/>
        </w:rPr>
      </w:pPr>
    </w:p>
    <w:p w:rsidR="00570023" w:rsidRPr="00570023" w:rsidRDefault="00570023" w:rsidP="009B5221">
      <w:pPr>
        <w:pBdr>
          <w:top w:val="single" w:sz="4" w:space="1" w:color="auto"/>
          <w:left w:val="single" w:sz="4" w:space="4" w:color="auto"/>
          <w:bottom w:val="single" w:sz="4" w:space="1" w:color="auto"/>
          <w:right w:val="single" w:sz="4" w:space="4" w:color="auto"/>
        </w:pBdr>
        <w:spacing w:after="0" w:line="240" w:lineRule="atLeast"/>
        <w:rPr>
          <w:rFonts w:ascii="Arial" w:hAnsi="Arial" w:cs="Arial"/>
          <w:b/>
          <w:color w:val="000000" w:themeColor="text1"/>
        </w:rPr>
      </w:pPr>
      <w:r>
        <w:rPr>
          <w:rFonts w:ascii="Arial" w:hAnsi="Arial" w:cs="Arial"/>
          <w:b/>
          <w:color w:val="000000" w:themeColor="text1"/>
        </w:rPr>
        <w:t xml:space="preserve">Maskenpflicht und Testpflicht/ § 28b Absatz 1 Nummer 4 IfSG </w:t>
      </w:r>
    </w:p>
    <w:p w:rsidR="00570023" w:rsidRDefault="00570023" w:rsidP="002F4EFA">
      <w:pPr>
        <w:spacing w:after="0" w:line="240" w:lineRule="atLeast"/>
        <w:rPr>
          <w:rFonts w:ascii="Arial" w:hAnsi="Arial" w:cs="Arial"/>
        </w:rPr>
      </w:pPr>
    </w:p>
    <w:p w:rsidR="000911D8" w:rsidRDefault="00570023" w:rsidP="002F4EFA">
      <w:pPr>
        <w:spacing w:after="0" w:line="240" w:lineRule="atLeast"/>
        <w:rPr>
          <w:rFonts w:ascii="Arial" w:hAnsi="Arial" w:cs="Arial"/>
        </w:rPr>
      </w:pPr>
      <w:r>
        <w:rPr>
          <w:rFonts w:ascii="Arial" w:hAnsi="Arial" w:cs="Arial"/>
        </w:rPr>
        <w:t>I</w:t>
      </w:r>
      <w:r w:rsidRPr="00570023">
        <w:rPr>
          <w:rFonts w:ascii="Arial" w:hAnsi="Arial" w:cs="Arial"/>
        </w:rPr>
        <w:t xml:space="preserve">n </w:t>
      </w:r>
      <w:r>
        <w:rPr>
          <w:rFonts w:ascii="Arial" w:hAnsi="Arial" w:cs="Arial"/>
        </w:rPr>
        <w:t xml:space="preserve">den in </w:t>
      </w:r>
      <w:r w:rsidRPr="00570023">
        <w:rPr>
          <w:rFonts w:ascii="Arial" w:hAnsi="Arial" w:cs="Arial"/>
        </w:rPr>
        <w:t xml:space="preserve">§ 28b Absatz 1 Nummer 4 </w:t>
      </w:r>
      <w:r w:rsidR="00C723FB">
        <w:rPr>
          <w:rFonts w:ascii="Arial" w:hAnsi="Arial" w:cs="Arial"/>
        </w:rPr>
        <w:t xml:space="preserve">genannten </w:t>
      </w:r>
      <w:r w:rsidRPr="00570023">
        <w:rPr>
          <w:rFonts w:ascii="Arial" w:hAnsi="Arial" w:cs="Arial"/>
        </w:rPr>
        <w:t>Einrichtungen oder Unternehmen</w:t>
      </w:r>
      <w:r>
        <w:rPr>
          <w:rFonts w:ascii="Arial" w:hAnsi="Arial" w:cs="Arial"/>
        </w:rPr>
        <w:t xml:space="preserve"> </w:t>
      </w:r>
      <w:r w:rsidRPr="00570023">
        <w:rPr>
          <w:rFonts w:ascii="Arial" w:hAnsi="Arial" w:cs="Arial"/>
        </w:rPr>
        <w:t>dürfen in der Pflege nur Personen tätig werden,</w:t>
      </w:r>
      <w:r>
        <w:rPr>
          <w:rFonts w:ascii="Arial" w:hAnsi="Arial" w:cs="Arial"/>
        </w:rPr>
        <w:t xml:space="preserve"> </w:t>
      </w:r>
    </w:p>
    <w:p w:rsidR="000911D8" w:rsidRDefault="00570023" w:rsidP="000911D8">
      <w:pPr>
        <w:pStyle w:val="Listenabsatz"/>
        <w:numPr>
          <w:ilvl w:val="0"/>
          <w:numId w:val="15"/>
        </w:numPr>
        <w:spacing w:after="0" w:line="240" w:lineRule="atLeast"/>
        <w:ind w:left="357" w:hanging="357"/>
        <w:rPr>
          <w:rFonts w:ascii="Arial" w:hAnsi="Arial" w:cs="Arial"/>
        </w:rPr>
      </w:pPr>
      <w:r w:rsidRPr="000911D8">
        <w:rPr>
          <w:rFonts w:ascii="Arial" w:hAnsi="Arial" w:cs="Arial"/>
        </w:rPr>
        <w:t xml:space="preserve">die eine Atemschutzmaske (FFP2 oder vergleichbar) tragen sowie </w:t>
      </w:r>
    </w:p>
    <w:p w:rsidR="00570023" w:rsidRPr="000911D8" w:rsidRDefault="00570023" w:rsidP="000911D8">
      <w:pPr>
        <w:pStyle w:val="Listenabsatz"/>
        <w:numPr>
          <w:ilvl w:val="0"/>
          <w:numId w:val="15"/>
        </w:numPr>
        <w:spacing w:after="0" w:line="240" w:lineRule="atLeast"/>
        <w:ind w:left="357" w:hanging="357"/>
        <w:rPr>
          <w:rFonts w:ascii="Arial" w:hAnsi="Arial" w:cs="Arial"/>
        </w:rPr>
      </w:pPr>
      <w:r w:rsidRPr="000911D8">
        <w:rPr>
          <w:rFonts w:ascii="Arial" w:hAnsi="Arial" w:cs="Arial"/>
        </w:rPr>
        <w:t xml:space="preserve">mindestens dreimal pro Kalenderwoche einen Testnachweis nach § 22a Absatz 3 vorlegen. </w:t>
      </w:r>
    </w:p>
    <w:p w:rsidR="00C723FB" w:rsidRDefault="00C723FB" w:rsidP="00C723FB">
      <w:pPr>
        <w:spacing w:after="0" w:line="240" w:lineRule="atLeast"/>
        <w:rPr>
          <w:rFonts w:ascii="Arial" w:hAnsi="Arial" w:cs="Arial"/>
        </w:rPr>
      </w:pPr>
    </w:p>
    <w:p w:rsidR="00C723FB" w:rsidRPr="00C723FB" w:rsidRDefault="00C723FB" w:rsidP="00C723FB">
      <w:pPr>
        <w:spacing w:after="0" w:line="240" w:lineRule="atLeast"/>
        <w:rPr>
          <w:rFonts w:ascii="Arial" w:hAnsi="Arial" w:cs="Arial"/>
        </w:rPr>
      </w:pPr>
      <w:r w:rsidRPr="00C723FB">
        <w:rPr>
          <w:rFonts w:ascii="Arial" w:hAnsi="Arial" w:cs="Arial"/>
        </w:rPr>
        <w:t xml:space="preserve">Dies gilt für </w:t>
      </w:r>
    </w:p>
    <w:p w:rsidR="00C723FB" w:rsidRDefault="00C723FB" w:rsidP="00C723FB">
      <w:pPr>
        <w:pStyle w:val="Listenabsatz"/>
        <w:numPr>
          <w:ilvl w:val="0"/>
          <w:numId w:val="13"/>
        </w:numPr>
        <w:spacing w:after="0" w:line="240" w:lineRule="atLeast"/>
        <w:ind w:left="357" w:hanging="357"/>
        <w:contextualSpacing w:val="0"/>
        <w:rPr>
          <w:rFonts w:ascii="Arial" w:hAnsi="Arial" w:cs="Arial"/>
        </w:rPr>
      </w:pPr>
      <w:r>
        <w:rPr>
          <w:rFonts w:ascii="Arial" w:hAnsi="Arial" w:cs="Arial"/>
        </w:rPr>
        <w:t xml:space="preserve">ambulante Pflegedienste, </w:t>
      </w:r>
    </w:p>
    <w:p w:rsidR="00C723FB" w:rsidRDefault="00C723FB" w:rsidP="00C723FB">
      <w:pPr>
        <w:pStyle w:val="Listenabsatz"/>
        <w:numPr>
          <w:ilvl w:val="0"/>
          <w:numId w:val="13"/>
        </w:numPr>
        <w:spacing w:after="0" w:line="240" w:lineRule="atLeast"/>
        <w:ind w:left="357" w:hanging="357"/>
        <w:contextualSpacing w:val="0"/>
        <w:rPr>
          <w:rFonts w:ascii="Arial" w:hAnsi="Arial" w:cs="Arial"/>
        </w:rPr>
      </w:pPr>
      <w:r>
        <w:rPr>
          <w:rFonts w:ascii="Arial" w:hAnsi="Arial" w:cs="Arial"/>
        </w:rPr>
        <w:t xml:space="preserve">Ambulante Intensivpflegedienste, die </w:t>
      </w:r>
      <w:r w:rsidR="00570023" w:rsidRPr="00C723FB">
        <w:rPr>
          <w:rFonts w:ascii="Arial" w:hAnsi="Arial" w:cs="Arial"/>
        </w:rPr>
        <w:t>in Einrichtungen, Wohngruppen</w:t>
      </w:r>
      <w:r w:rsidR="00570023" w:rsidRPr="00C723FB">
        <w:rPr>
          <w:rFonts w:ascii="Arial" w:hAnsi="Arial" w:cs="Arial"/>
        </w:rPr>
        <w:br/>
        <w:t>oder sonstigen gemeinschaftlichen Wohnformen oder in de</w:t>
      </w:r>
      <w:r>
        <w:rPr>
          <w:rFonts w:ascii="Arial" w:hAnsi="Arial" w:cs="Arial"/>
        </w:rPr>
        <w:t>r eigenen Häuslichkeit der pfle</w:t>
      </w:r>
      <w:r w:rsidR="00570023" w:rsidRPr="00C723FB">
        <w:rPr>
          <w:rFonts w:ascii="Arial" w:hAnsi="Arial" w:cs="Arial"/>
        </w:rPr>
        <w:t xml:space="preserve">gebedürftigen Person erbringen </w:t>
      </w:r>
    </w:p>
    <w:p w:rsidR="00C723FB" w:rsidRPr="00C723FB" w:rsidRDefault="00C723FB" w:rsidP="00C723FB">
      <w:pPr>
        <w:spacing w:after="0" w:line="240" w:lineRule="atLeast"/>
        <w:rPr>
          <w:rFonts w:ascii="Arial" w:hAnsi="Arial" w:cs="Arial"/>
        </w:rPr>
      </w:pPr>
    </w:p>
    <w:p w:rsidR="00C723FB" w:rsidRDefault="00C723FB" w:rsidP="00C723FB">
      <w:pPr>
        <w:spacing w:after="0" w:line="240" w:lineRule="atLeast"/>
        <w:rPr>
          <w:rFonts w:ascii="Arial" w:hAnsi="Arial" w:cs="Arial"/>
        </w:rPr>
      </w:pPr>
      <w:r>
        <w:rPr>
          <w:rFonts w:ascii="Arial" w:hAnsi="Arial" w:cs="Arial"/>
        </w:rPr>
        <w:t xml:space="preserve">Es ist davon auszugehen, dass dies auch für SAPV-Dienste gilt </w:t>
      </w:r>
    </w:p>
    <w:p w:rsidR="005101D1" w:rsidRDefault="005101D1" w:rsidP="00C723FB">
      <w:pPr>
        <w:spacing w:after="0" w:line="240" w:lineRule="atLeast"/>
        <w:rPr>
          <w:rFonts w:ascii="Arial" w:hAnsi="Arial" w:cs="Arial"/>
        </w:rPr>
      </w:pPr>
    </w:p>
    <w:p w:rsidR="00570023" w:rsidRDefault="00C723FB" w:rsidP="00C723FB">
      <w:pPr>
        <w:spacing w:after="0" w:line="240" w:lineRule="atLeast"/>
        <w:rPr>
          <w:rFonts w:ascii="Arial" w:hAnsi="Arial" w:cs="Arial"/>
        </w:rPr>
      </w:pPr>
      <w:r>
        <w:rPr>
          <w:rFonts w:ascii="Arial" w:hAnsi="Arial" w:cs="Arial"/>
        </w:rPr>
        <w:t xml:space="preserve">Ausgenommen sind: </w:t>
      </w:r>
      <w:r w:rsidR="00570023" w:rsidRPr="00C723FB">
        <w:rPr>
          <w:rFonts w:ascii="Arial" w:hAnsi="Arial" w:cs="Arial"/>
        </w:rPr>
        <w:t>Angebote zur Unterstützung im Alltag im</w:t>
      </w:r>
      <w:r>
        <w:rPr>
          <w:rFonts w:ascii="Arial" w:hAnsi="Arial" w:cs="Arial"/>
        </w:rPr>
        <w:t xml:space="preserve"> </w:t>
      </w:r>
      <w:r w:rsidR="00570023" w:rsidRPr="00C723FB">
        <w:rPr>
          <w:rFonts w:ascii="Arial" w:hAnsi="Arial" w:cs="Arial"/>
        </w:rPr>
        <w:t>Sinne von § 45a Absatz 1 Satz 2 des Elften</w:t>
      </w:r>
      <w:r>
        <w:rPr>
          <w:rFonts w:ascii="Arial" w:hAnsi="Arial" w:cs="Arial"/>
        </w:rPr>
        <w:t xml:space="preserve"> </w:t>
      </w:r>
      <w:r w:rsidR="00570023" w:rsidRPr="00C723FB">
        <w:rPr>
          <w:rFonts w:ascii="Arial" w:hAnsi="Arial" w:cs="Arial"/>
        </w:rPr>
        <w:t>Buches</w:t>
      </w:r>
      <w:r>
        <w:rPr>
          <w:rFonts w:ascii="Arial" w:hAnsi="Arial" w:cs="Arial"/>
        </w:rPr>
        <w:t xml:space="preserve"> Sozialgesetzbuch </w:t>
      </w:r>
      <w:r w:rsidR="005101D1">
        <w:rPr>
          <w:rFonts w:ascii="Arial" w:hAnsi="Arial" w:cs="Arial"/>
        </w:rPr>
        <w:t>und auch ambulante Hospizdienste</w:t>
      </w:r>
    </w:p>
    <w:p w:rsidR="00C723FB" w:rsidRDefault="00C723FB" w:rsidP="00C723FB">
      <w:pPr>
        <w:spacing w:after="0" w:line="240" w:lineRule="atLeast"/>
        <w:rPr>
          <w:rFonts w:ascii="Arial" w:hAnsi="Arial" w:cs="Arial"/>
        </w:rPr>
      </w:pPr>
    </w:p>
    <w:p w:rsidR="00C723FB" w:rsidRDefault="00A06219" w:rsidP="00C723FB">
      <w:pPr>
        <w:spacing w:after="0" w:line="240" w:lineRule="atLeast"/>
        <w:rPr>
          <w:rFonts w:ascii="Arial" w:hAnsi="Arial" w:cs="Arial"/>
        </w:rPr>
      </w:pPr>
      <w:r>
        <w:rPr>
          <w:rFonts w:ascii="Arial" w:hAnsi="Arial" w:cs="Arial"/>
        </w:rPr>
        <w:t>Beschäftigte ambulanter Pflegedienste, ambulanter Intensivpflegedienste etc. (Personen, die in einer oder ei</w:t>
      </w:r>
      <w:r w:rsidRPr="00A06219">
        <w:rPr>
          <w:rFonts w:ascii="Arial" w:hAnsi="Arial" w:cs="Arial"/>
        </w:rPr>
        <w:t xml:space="preserve">nem in </w:t>
      </w:r>
      <w:r>
        <w:rPr>
          <w:rFonts w:ascii="Arial" w:hAnsi="Arial" w:cs="Arial"/>
        </w:rPr>
        <w:t xml:space="preserve">Absatz 1 </w:t>
      </w:r>
      <w:r w:rsidRPr="00A06219">
        <w:rPr>
          <w:rFonts w:ascii="Arial" w:hAnsi="Arial" w:cs="Arial"/>
        </w:rPr>
        <w:t>Satz 1 Nummer 4 genannten Einrichtung</w:t>
      </w:r>
      <w:r>
        <w:rPr>
          <w:rFonts w:ascii="Arial" w:hAnsi="Arial" w:cs="Arial"/>
        </w:rPr>
        <w:t xml:space="preserve"> </w:t>
      </w:r>
      <w:r w:rsidRPr="00A06219">
        <w:rPr>
          <w:rFonts w:ascii="Arial" w:hAnsi="Arial" w:cs="Arial"/>
        </w:rPr>
        <w:t>oder Unternehmen tätig sind</w:t>
      </w:r>
      <w:r>
        <w:rPr>
          <w:rFonts w:ascii="Arial" w:hAnsi="Arial" w:cs="Arial"/>
        </w:rPr>
        <w:t>)</w:t>
      </w:r>
      <w:r w:rsidRPr="00A06219">
        <w:rPr>
          <w:rFonts w:ascii="Arial" w:hAnsi="Arial" w:cs="Arial"/>
        </w:rPr>
        <w:t xml:space="preserve"> und die ihre Tätigkeit</w:t>
      </w:r>
      <w:r>
        <w:rPr>
          <w:rFonts w:ascii="Arial" w:hAnsi="Arial" w:cs="Arial"/>
        </w:rPr>
        <w:t xml:space="preserve"> </w:t>
      </w:r>
      <w:r w:rsidRPr="00A06219">
        <w:rPr>
          <w:rFonts w:ascii="Arial" w:hAnsi="Arial" w:cs="Arial"/>
        </w:rPr>
        <w:t xml:space="preserve">von </w:t>
      </w:r>
      <w:r>
        <w:rPr>
          <w:rFonts w:ascii="Arial" w:hAnsi="Arial" w:cs="Arial"/>
        </w:rPr>
        <w:t>ihrer Wohnung aus antreten, können die Antigen-Tests zur Eigentestung auch ohne Überwachung zu Hause vornehmen (Selbsttestung „zu Hause“)</w:t>
      </w:r>
    </w:p>
    <w:p w:rsidR="00C723FB" w:rsidRDefault="00C723FB" w:rsidP="00C723FB">
      <w:pPr>
        <w:spacing w:after="0" w:line="240" w:lineRule="atLeast"/>
        <w:rPr>
          <w:rFonts w:ascii="Arial" w:hAnsi="Arial" w:cs="Arial"/>
        </w:rPr>
      </w:pPr>
    </w:p>
    <w:p w:rsidR="00C723FB" w:rsidRDefault="00C723FB" w:rsidP="00C723FB">
      <w:pPr>
        <w:spacing w:after="0" w:line="240" w:lineRule="atLeast"/>
        <w:rPr>
          <w:rFonts w:ascii="Arial" w:hAnsi="Arial" w:cs="Arial"/>
        </w:rPr>
      </w:pPr>
    </w:p>
    <w:p w:rsidR="00C723FB" w:rsidRDefault="00C723FB" w:rsidP="00C723FB">
      <w:pPr>
        <w:pStyle w:val="Listenabsatz"/>
        <w:numPr>
          <w:ilvl w:val="0"/>
          <w:numId w:val="13"/>
        </w:numPr>
        <w:spacing w:after="0" w:line="240" w:lineRule="atLeast"/>
        <w:ind w:left="357" w:hanging="357"/>
        <w:rPr>
          <w:rFonts w:ascii="Arial" w:hAnsi="Arial" w:cs="Arial"/>
        </w:rPr>
      </w:pPr>
      <w:r w:rsidRPr="00C723FB">
        <w:rPr>
          <w:rFonts w:ascii="Arial" w:hAnsi="Arial" w:cs="Arial"/>
        </w:rPr>
        <w:t>Dies betrifft nur die Beschäftigten</w:t>
      </w:r>
      <w:r>
        <w:rPr>
          <w:rFonts w:ascii="Arial" w:hAnsi="Arial" w:cs="Arial"/>
        </w:rPr>
        <w:t xml:space="preserve"> bzw. Personen, die dort tätig sind</w:t>
      </w:r>
      <w:r w:rsidRPr="00C723FB">
        <w:rPr>
          <w:rFonts w:ascii="Arial" w:hAnsi="Arial" w:cs="Arial"/>
        </w:rPr>
        <w:t xml:space="preserve">, nicht das Klientel oder Besucher </w:t>
      </w:r>
    </w:p>
    <w:p w:rsidR="00C723FB" w:rsidRDefault="00C723FB" w:rsidP="00C723FB">
      <w:pPr>
        <w:pStyle w:val="Listenabsatz"/>
        <w:numPr>
          <w:ilvl w:val="0"/>
          <w:numId w:val="13"/>
        </w:numPr>
        <w:ind w:left="357" w:hanging="357"/>
        <w:rPr>
          <w:rFonts w:ascii="Arial" w:hAnsi="Arial" w:cs="Arial"/>
        </w:rPr>
      </w:pPr>
      <w:r>
        <w:rPr>
          <w:rFonts w:ascii="Arial" w:hAnsi="Arial" w:cs="Arial"/>
        </w:rPr>
        <w:t xml:space="preserve">Dies gilt im Zeitraum </w:t>
      </w:r>
      <w:r w:rsidRPr="00C723FB">
        <w:rPr>
          <w:rFonts w:ascii="Arial" w:hAnsi="Arial" w:cs="Arial"/>
        </w:rPr>
        <w:t xml:space="preserve">vom 1. Oktober 2022 bis zum 7. April 2023: </w:t>
      </w:r>
    </w:p>
    <w:p w:rsidR="00C723FB" w:rsidRPr="0026180B" w:rsidRDefault="0026180B" w:rsidP="0026180B">
      <w:pPr>
        <w:rPr>
          <w:rFonts w:ascii="Arial" w:hAnsi="Arial" w:cs="Arial"/>
        </w:rPr>
      </w:pPr>
      <w:r>
        <w:rPr>
          <w:rFonts w:ascii="Arial" w:hAnsi="Arial" w:cs="Arial"/>
        </w:rPr>
        <w:t>Inkrafttreten: 24.09.2022</w:t>
      </w:r>
    </w:p>
    <w:p w:rsidR="00C723FB" w:rsidRDefault="00C723FB" w:rsidP="00A25474">
      <w:pPr>
        <w:spacing w:after="0" w:line="240" w:lineRule="atLeast"/>
        <w:rPr>
          <w:rFonts w:ascii="Arial" w:hAnsi="Arial" w:cs="Arial"/>
          <w:color w:val="000000" w:themeColor="text1"/>
        </w:rPr>
      </w:pPr>
    </w:p>
    <w:p w:rsidR="00A06219" w:rsidRPr="00A06219" w:rsidRDefault="00A06219" w:rsidP="009B5221">
      <w:pPr>
        <w:pBdr>
          <w:top w:val="single" w:sz="4" w:space="1" w:color="auto"/>
          <w:left w:val="single" w:sz="4" w:space="4" w:color="auto"/>
          <w:bottom w:val="single" w:sz="4" w:space="1" w:color="auto"/>
          <w:right w:val="single" w:sz="4" w:space="4" w:color="auto"/>
        </w:pBdr>
        <w:spacing w:after="0" w:line="240" w:lineRule="atLeast"/>
        <w:rPr>
          <w:rFonts w:ascii="Arial" w:hAnsi="Arial" w:cs="Arial"/>
          <w:b/>
          <w:color w:val="000000" w:themeColor="text1"/>
        </w:rPr>
      </w:pPr>
      <w:r w:rsidRPr="00A06219">
        <w:rPr>
          <w:rFonts w:ascii="Arial" w:hAnsi="Arial" w:cs="Arial"/>
          <w:b/>
          <w:color w:val="000000" w:themeColor="text1"/>
        </w:rPr>
        <w:t>Maßnahmen zur Infektionsverhütung; Hygienepläne, Überwachung durch das G</w:t>
      </w:r>
      <w:r>
        <w:rPr>
          <w:rFonts w:ascii="Arial" w:hAnsi="Arial" w:cs="Arial"/>
          <w:b/>
          <w:color w:val="000000" w:themeColor="text1"/>
        </w:rPr>
        <w:t xml:space="preserve">esundheitsamt </w:t>
      </w:r>
      <w:r w:rsidRPr="00A06219">
        <w:rPr>
          <w:rFonts w:ascii="Arial" w:hAnsi="Arial" w:cs="Arial"/>
          <w:b/>
          <w:color w:val="000000" w:themeColor="text1"/>
        </w:rPr>
        <w:t xml:space="preserve">/ § </w:t>
      </w:r>
      <w:r w:rsidR="009B5221">
        <w:rPr>
          <w:rFonts w:ascii="Arial" w:hAnsi="Arial" w:cs="Arial"/>
          <w:b/>
          <w:color w:val="000000" w:themeColor="text1"/>
        </w:rPr>
        <w:t xml:space="preserve">35 Absatz 1 </w:t>
      </w:r>
    </w:p>
    <w:p w:rsidR="008C2CB7" w:rsidRDefault="008C2CB7" w:rsidP="009B5221">
      <w:pPr>
        <w:pBdr>
          <w:top w:val="single" w:sz="4" w:space="1" w:color="auto"/>
          <w:left w:val="single" w:sz="4" w:space="4" w:color="auto"/>
          <w:bottom w:val="single" w:sz="4" w:space="1" w:color="auto"/>
          <w:right w:val="single" w:sz="4" w:space="4" w:color="auto"/>
        </w:pBdr>
        <w:spacing w:after="0" w:line="240" w:lineRule="atLeast"/>
        <w:rPr>
          <w:rFonts w:ascii="Arial" w:hAnsi="Arial" w:cs="Arial"/>
          <w:color w:val="000000" w:themeColor="text1"/>
        </w:rPr>
      </w:pPr>
    </w:p>
    <w:p w:rsidR="00A06219" w:rsidRDefault="008C2CB7" w:rsidP="000911D8">
      <w:pPr>
        <w:spacing w:after="0" w:line="240" w:lineRule="atLeast"/>
        <w:rPr>
          <w:rFonts w:ascii="Arial" w:hAnsi="Arial" w:cs="Arial"/>
          <w:color w:val="000000" w:themeColor="text1"/>
        </w:rPr>
      </w:pPr>
      <w:r>
        <w:rPr>
          <w:rFonts w:ascii="Arial" w:hAnsi="Arial" w:cs="Arial"/>
          <w:color w:val="000000" w:themeColor="text1"/>
        </w:rPr>
        <w:t xml:space="preserve">Nach § 35 IfSG haben Absatz 1 Nr. 3 haben </w:t>
      </w:r>
      <w:r w:rsidRPr="002F4EFA">
        <w:rPr>
          <w:rFonts w:ascii="Arial" w:hAnsi="Arial" w:cs="Arial"/>
          <w:color w:val="000000" w:themeColor="text1"/>
        </w:rPr>
        <w:t>ambulante Pflegedienste</w:t>
      </w:r>
      <w:r w:rsidR="000911D8">
        <w:rPr>
          <w:rFonts w:ascii="Arial" w:hAnsi="Arial" w:cs="Arial"/>
          <w:color w:val="000000" w:themeColor="text1"/>
        </w:rPr>
        <w:t xml:space="preserve">, ambulante Intensivpflegedienste, </w:t>
      </w:r>
      <w:r w:rsidR="000911D8" w:rsidRPr="000911D8">
        <w:rPr>
          <w:rFonts w:ascii="Arial" w:hAnsi="Arial" w:cs="Arial"/>
          <w:color w:val="000000" w:themeColor="text1"/>
        </w:rPr>
        <w:t>die in Einrichtungen, Wohngruppen</w:t>
      </w:r>
      <w:r w:rsidR="000911D8">
        <w:rPr>
          <w:rFonts w:ascii="Arial" w:hAnsi="Arial" w:cs="Arial"/>
          <w:color w:val="000000" w:themeColor="text1"/>
        </w:rPr>
        <w:t xml:space="preserve"> </w:t>
      </w:r>
      <w:r w:rsidR="000911D8" w:rsidRPr="000911D8">
        <w:rPr>
          <w:rFonts w:ascii="Arial" w:hAnsi="Arial" w:cs="Arial"/>
          <w:color w:val="000000" w:themeColor="text1"/>
        </w:rPr>
        <w:t>oder sonstigen</w:t>
      </w:r>
      <w:r w:rsidR="000911D8">
        <w:rPr>
          <w:rFonts w:ascii="Arial" w:hAnsi="Arial" w:cs="Arial"/>
          <w:color w:val="000000" w:themeColor="text1"/>
        </w:rPr>
        <w:t xml:space="preserve"> gemeinschaftlichen Wohnformen erbringen etc. </w:t>
      </w:r>
      <w:r w:rsidRPr="008C2CB7">
        <w:rPr>
          <w:rFonts w:ascii="Arial" w:hAnsi="Arial" w:cs="Arial"/>
          <w:color w:val="000000" w:themeColor="text1"/>
        </w:rPr>
        <w:t xml:space="preserve">sicherzustellen, </w:t>
      </w:r>
    </w:p>
    <w:p w:rsidR="000911D8" w:rsidRDefault="008C2CB7" w:rsidP="000911D8">
      <w:pPr>
        <w:pStyle w:val="Listenabsatz"/>
        <w:numPr>
          <w:ilvl w:val="0"/>
          <w:numId w:val="14"/>
        </w:numPr>
        <w:spacing w:after="0" w:line="240" w:lineRule="atLeast"/>
        <w:ind w:left="357" w:hanging="357"/>
        <w:rPr>
          <w:rFonts w:ascii="Arial" w:hAnsi="Arial" w:cs="Arial"/>
          <w:color w:val="000000" w:themeColor="text1"/>
        </w:rPr>
      </w:pPr>
      <w:r w:rsidRPr="00A06219">
        <w:rPr>
          <w:rFonts w:ascii="Arial" w:hAnsi="Arial" w:cs="Arial"/>
          <w:color w:val="000000" w:themeColor="text1"/>
        </w:rPr>
        <w:t>dass die nach dem Stand der medizinischen Wissenschaft und der Pflegewissenschaft erforderlichen Maßnahmen getroffen werden, um Infektionen zu verhüten und die Weiterverbreitung von Krankheitserregern zu vermeiden.</w:t>
      </w:r>
    </w:p>
    <w:p w:rsidR="000911D8" w:rsidRDefault="008C2CB7" w:rsidP="000911D8">
      <w:pPr>
        <w:pStyle w:val="Listenabsatz"/>
        <w:numPr>
          <w:ilvl w:val="0"/>
          <w:numId w:val="14"/>
        </w:numPr>
        <w:spacing w:after="0" w:line="240" w:lineRule="atLeast"/>
        <w:ind w:left="357" w:hanging="357"/>
        <w:rPr>
          <w:rFonts w:ascii="Arial" w:hAnsi="Arial" w:cs="Arial"/>
          <w:color w:val="000000" w:themeColor="text1"/>
        </w:rPr>
      </w:pPr>
      <w:r w:rsidRPr="000911D8">
        <w:rPr>
          <w:rFonts w:ascii="Arial" w:hAnsi="Arial" w:cs="Arial"/>
          <w:color w:val="000000" w:themeColor="text1"/>
        </w:rPr>
        <w:t xml:space="preserve">Die Einhaltung des Standes der medizinischen Wissenschaft oder der Pflegewissenschaft im Hinblick auf die Infektionsprävention im Rahmen der Durchführung medizinischer oder pflegerischer Maßnahmen wird vermutet, wenn jeweils die veröffentlichten Empfehlungen der Kommission für Infektionsprävention in </w:t>
      </w:r>
      <w:r w:rsidRPr="000911D8">
        <w:rPr>
          <w:rFonts w:ascii="Arial" w:hAnsi="Arial" w:cs="Arial"/>
          <w:color w:val="000000" w:themeColor="text1"/>
        </w:rPr>
        <w:lastRenderedPageBreak/>
        <w:t xml:space="preserve">medizinischen Einrichtungen und in Einrichtungen und Unternehmen der Pflege und Eingliederungshilfe nach § 23 Absatz 1 beachtet worden sind. </w:t>
      </w:r>
    </w:p>
    <w:p w:rsidR="000911D8" w:rsidRDefault="000911D8" w:rsidP="000911D8">
      <w:pPr>
        <w:spacing w:after="0" w:line="240" w:lineRule="atLeast"/>
        <w:rPr>
          <w:rFonts w:ascii="Arial" w:hAnsi="Arial" w:cs="Arial"/>
          <w:color w:val="000000" w:themeColor="text1"/>
        </w:rPr>
      </w:pPr>
    </w:p>
    <w:p w:rsidR="008C2CB7" w:rsidRPr="000911D8" w:rsidRDefault="008C2CB7" w:rsidP="000911D8">
      <w:pPr>
        <w:spacing w:after="0" w:line="240" w:lineRule="atLeast"/>
        <w:rPr>
          <w:rFonts w:ascii="Arial" w:hAnsi="Arial" w:cs="Arial"/>
          <w:color w:val="000000" w:themeColor="text1"/>
        </w:rPr>
      </w:pPr>
      <w:r w:rsidRPr="000911D8">
        <w:rPr>
          <w:rFonts w:ascii="Arial" w:hAnsi="Arial" w:cs="Arial"/>
          <w:color w:val="000000" w:themeColor="text1"/>
        </w:rPr>
        <w:t>Die ambulante</w:t>
      </w:r>
      <w:r w:rsidR="00143401" w:rsidRPr="000911D8">
        <w:rPr>
          <w:rFonts w:ascii="Arial" w:hAnsi="Arial" w:cs="Arial"/>
          <w:color w:val="000000" w:themeColor="text1"/>
        </w:rPr>
        <w:t>n</w:t>
      </w:r>
      <w:r w:rsidRPr="000911D8">
        <w:rPr>
          <w:rFonts w:ascii="Arial" w:hAnsi="Arial" w:cs="Arial"/>
          <w:color w:val="000000" w:themeColor="text1"/>
        </w:rPr>
        <w:t xml:space="preserve"> Pflegedienste etc. müssen in Hygieneplänen innerbetriebliche Verfahrensweisen zur Infektionshygiene festlegen und unterliegen der infektionshygienischen Überwachung durch das Gesundheitsamt. </w:t>
      </w:r>
    </w:p>
    <w:p w:rsidR="008C2CB7" w:rsidRPr="008C2CB7" w:rsidRDefault="008C2CB7" w:rsidP="00E12013">
      <w:pPr>
        <w:pStyle w:val="Listenabsatz"/>
        <w:numPr>
          <w:ilvl w:val="0"/>
          <w:numId w:val="5"/>
        </w:numPr>
        <w:spacing w:after="0" w:line="240" w:lineRule="atLeast"/>
        <w:ind w:left="357" w:hanging="357"/>
        <w:rPr>
          <w:rFonts w:ascii="Arial" w:hAnsi="Arial" w:cs="Arial"/>
          <w:color w:val="000000" w:themeColor="text1"/>
        </w:rPr>
      </w:pPr>
      <w:r w:rsidRPr="008C2CB7">
        <w:rPr>
          <w:rFonts w:ascii="Arial" w:hAnsi="Arial" w:cs="Arial"/>
          <w:color w:val="000000" w:themeColor="text1"/>
        </w:rPr>
        <w:t xml:space="preserve">Die infektionshygienische Überwachung von ambulanten Pflegediensten, die ambulante Intensivpflege erbringen, erstreckt sich auch auf Orte, an denen die Intensivpflege erbracht wird. </w:t>
      </w:r>
    </w:p>
    <w:p w:rsidR="008C2CB7" w:rsidRDefault="008C2CB7" w:rsidP="00A25474">
      <w:pPr>
        <w:spacing w:after="0" w:line="240" w:lineRule="atLeast"/>
        <w:rPr>
          <w:rFonts w:ascii="Arial" w:hAnsi="Arial" w:cs="Arial"/>
          <w:color w:val="000000" w:themeColor="text1"/>
        </w:rPr>
      </w:pPr>
    </w:p>
    <w:p w:rsidR="000911D8" w:rsidRDefault="000911D8" w:rsidP="00A25474">
      <w:pPr>
        <w:spacing w:after="0" w:line="240" w:lineRule="atLeast"/>
        <w:rPr>
          <w:rFonts w:ascii="Arial" w:hAnsi="Arial" w:cs="Arial"/>
          <w:color w:val="000000" w:themeColor="text1"/>
        </w:rPr>
      </w:pPr>
    </w:p>
    <w:p w:rsidR="000911D8" w:rsidRDefault="000911D8" w:rsidP="00D65299">
      <w:pPr>
        <w:pStyle w:val="Listenabsatz"/>
        <w:numPr>
          <w:ilvl w:val="0"/>
          <w:numId w:val="16"/>
        </w:numPr>
        <w:spacing w:after="0" w:line="240" w:lineRule="atLeast"/>
        <w:ind w:left="357" w:hanging="357"/>
        <w:rPr>
          <w:rFonts w:ascii="Arial" w:hAnsi="Arial" w:cs="Arial"/>
          <w:color w:val="000000" w:themeColor="text1"/>
        </w:rPr>
      </w:pPr>
      <w:r w:rsidRPr="000911D8">
        <w:rPr>
          <w:rFonts w:ascii="Arial" w:hAnsi="Arial" w:cs="Arial"/>
          <w:color w:val="000000" w:themeColor="text1"/>
        </w:rPr>
        <w:t xml:space="preserve">Es ist davon auszugehen, dass </w:t>
      </w:r>
      <w:r>
        <w:rPr>
          <w:rFonts w:ascii="Arial" w:hAnsi="Arial" w:cs="Arial"/>
          <w:color w:val="000000" w:themeColor="text1"/>
        </w:rPr>
        <w:t>dies auch für SAPV-Dienste gilt.</w:t>
      </w:r>
    </w:p>
    <w:p w:rsidR="000911D8" w:rsidRPr="000911D8" w:rsidRDefault="000911D8" w:rsidP="00D65299">
      <w:pPr>
        <w:pStyle w:val="Listenabsatz"/>
        <w:numPr>
          <w:ilvl w:val="0"/>
          <w:numId w:val="16"/>
        </w:numPr>
        <w:spacing w:after="0" w:line="240" w:lineRule="atLeast"/>
        <w:ind w:left="357" w:hanging="357"/>
        <w:rPr>
          <w:rFonts w:ascii="Arial" w:hAnsi="Arial" w:cs="Arial"/>
          <w:color w:val="000000" w:themeColor="text1"/>
        </w:rPr>
      </w:pPr>
      <w:r>
        <w:rPr>
          <w:rFonts w:ascii="Arial" w:hAnsi="Arial" w:cs="Arial"/>
          <w:color w:val="000000" w:themeColor="text1"/>
        </w:rPr>
        <w:t>A</w:t>
      </w:r>
      <w:r w:rsidRPr="000911D8">
        <w:rPr>
          <w:rFonts w:ascii="Arial" w:hAnsi="Arial" w:cs="Arial"/>
          <w:color w:val="000000" w:themeColor="text1"/>
        </w:rPr>
        <w:t xml:space="preserve">usgenommen sind: </w:t>
      </w:r>
      <w:r w:rsidR="00570023" w:rsidRPr="000911D8">
        <w:rPr>
          <w:rFonts w:ascii="Arial" w:hAnsi="Arial" w:cs="Arial"/>
          <w:color w:val="000000" w:themeColor="text1"/>
        </w:rPr>
        <w:t>Angebote zur Unterstützung im Alltag im</w:t>
      </w:r>
      <w:r w:rsidRPr="000911D8">
        <w:rPr>
          <w:rFonts w:ascii="Arial" w:hAnsi="Arial" w:cs="Arial"/>
          <w:color w:val="000000" w:themeColor="text1"/>
        </w:rPr>
        <w:t xml:space="preserve"> </w:t>
      </w:r>
      <w:r w:rsidR="00570023" w:rsidRPr="000911D8">
        <w:rPr>
          <w:rFonts w:ascii="Arial" w:hAnsi="Arial" w:cs="Arial"/>
          <w:color w:val="000000" w:themeColor="text1"/>
        </w:rPr>
        <w:t>Sinne von § 45a Absatz 1 Satz 2 des Elften</w:t>
      </w:r>
      <w:r w:rsidRPr="000911D8">
        <w:rPr>
          <w:rFonts w:ascii="Arial" w:hAnsi="Arial" w:cs="Arial"/>
          <w:color w:val="000000" w:themeColor="text1"/>
        </w:rPr>
        <w:t xml:space="preserve"> </w:t>
      </w:r>
      <w:r w:rsidR="00570023" w:rsidRPr="000911D8">
        <w:rPr>
          <w:rFonts w:ascii="Arial" w:hAnsi="Arial" w:cs="Arial"/>
          <w:color w:val="000000" w:themeColor="text1"/>
        </w:rPr>
        <w:t>Buches</w:t>
      </w:r>
      <w:r w:rsidRPr="000911D8">
        <w:rPr>
          <w:rFonts w:ascii="Arial" w:hAnsi="Arial" w:cs="Arial"/>
          <w:color w:val="000000" w:themeColor="text1"/>
        </w:rPr>
        <w:t xml:space="preserve"> Sozialgesetzbuch</w:t>
      </w:r>
      <w:r>
        <w:rPr>
          <w:rFonts w:ascii="Arial" w:hAnsi="Arial" w:cs="Arial"/>
          <w:color w:val="000000" w:themeColor="text1"/>
        </w:rPr>
        <w:t xml:space="preserve"> (und vermutlich auch ambulante Hospizdienste)</w:t>
      </w:r>
    </w:p>
    <w:p w:rsidR="000911D8" w:rsidRDefault="000911D8" w:rsidP="00A25474">
      <w:pPr>
        <w:spacing w:after="0" w:line="240" w:lineRule="atLeast"/>
        <w:rPr>
          <w:rFonts w:ascii="Arial" w:hAnsi="Arial" w:cs="Arial"/>
          <w:color w:val="000000" w:themeColor="text1"/>
        </w:rPr>
      </w:pPr>
    </w:p>
    <w:p w:rsidR="000911D8" w:rsidRDefault="000911D8" w:rsidP="00A25474">
      <w:pPr>
        <w:spacing w:after="0" w:line="240" w:lineRule="atLeast"/>
        <w:rPr>
          <w:rFonts w:ascii="Arial" w:hAnsi="Arial" w:cs="Arial"/>
          <w:color w:val="000000" w:themeColor="text1"/>
        </w:rPr>
      </w:pPr>
    </w:p>
    <w:p w:rsidR="000911D8" w:rsidRPr="000911D8" w:rsidRDefault="000911D8" w:rsidP="000911D8">
      <w:pPr>
        <w:spacing w:after="0" w:line="240" w:lineRule="atLeast"/>
        <w:rPr>
          <w:rFonts w:ascii="Arial" w:hAnsi="Arial" w:cs="Arial"/>
          <w:color w:val="000000" w:themeColor="text1"/>
        </w:rPr>
      </w:pPr>
      <w:r w:rsidRPr="000911D8">
        <w:rPr>
          <w:rFonts w:ascii="Arial" w:hAnsi="Arial" w:cs="Arial"/>
          <w:color w:val="000000" w:themeColor="text1"/>
        </w:rPr>
        <w:t>Nach § 23 Abs. 1 IfSG (neu) wird beim Robert Koch-Institut (RKI) eine Kommission für Infektionsprävention in medizinischen Einrichtungen und in Einric</w:t>
      </w:r>
      <w:r>
        <w:rPr>
          <w:rFonts w:ascii="Arial" w:hAnsi="Arial" w:cs="Arial"/>
          <w:color w:val="000000" w:themeColor="text1"/>
        </w:rPr>
        <w:t>htungen und Un</w:t>
      </w:r>
      <w:r w:rsidRPr="000911D8">
        <w:rPr>
          <w:rFonts w:ascii="Arial" w:hAnsi="Arial" w:cs="Arial"/>
          <w:color w:val="000000" w:themeColor="text1"/>
        </w:rPr>
        <w:t>ternehmen der Pflege und Eingliederungshilfe eingerichtet. Die Kommission erstellt Empfehlungen zur Prävention nosokomialer und w</w:t>
      </w:r>
      <w:r>
        <w:rPr>
          <w:rFonts w:ascii="Arial" w:hAnsi="Arial" w:cs="Arial"/>
          <w:color w:val="000000" w:themeColor="text1"/>
        </w:rPr>
        <w:t>eiterer Infektionen sowie zu be</w:t>
      </w:r>
      <w:r w:rsidRPr="000911D8">
        <w:rPr>
          <w:rFonts w:ascii="Arial" w:hAnsi="Arial" w:cs="Arial"/>
          <w:color w:val="000000" w:themeColor="text1"/>
        </w:rPr>
        <w:t>trieblich-organisatorischen und baulich-funktionellen Maßnahmen der Hygiene in Krankenhäusern, anderen medizinischen Einrich</w:t>
      </w:r>
      <w:r>
        <w:rPr>
          <w:rFonts w:ascii="Arial" w:hAnsi="Arial" w:cs="Arial"/>
          <w:color w:val="000000" w:themeColor="text1"/>
        </w:rPr>
        <w:t>tungen und Einrichtungen und Un</w:t>
      </w:r>
      <w:r w:rsidRPr="000911D8">
        <w:rPr>
          <w:rFonts w:ascii="Arial" w:hAnsi="Arial" w:cs="Arial"/>
          <w:color w:val="000000" w:themeColor="text1"/>
        </w:rPr>
        <w:t xml:space="preserve">ternehmen der Pflege und Eingliederungshilfe.  </w:t>
      </w:r>
    </w:p>
    <w:p w:rsidR="000911D8" w:rsidRPr="000911D8" w:rsidRDefault="000911D8" w:rsidP="000911D8">
      <w:pPr>
        <w:spacing w:after="0" w:line="240" w:lineRule="atLeast"/>
        <w:rPr>
          <w:rFonts w:ascii="Arial" w:hAnsi="Arial" w:cs="Arial"/>
          <w:color w:val="000000" w:themeColor="text1"/>
        </w:rPr>
      </w:pPr>
      <w:r w:rsidRPr="000911D8">
        <w:rPr>
          <w:rFonts w:ascii="Arial" w:hAnsi="Arial" w:cs="Arial"/>
          <w:color w:val="000000" w:themeColor="text1"/>
        </w:rPr>
        <w:t>Bei der Benennung der Mitglieder der KRINKO sind a</w:t>
      </w:r>
      <w:r>
        <w:rPr>
          <w:rFonts w:ascii="Arial" w:hAnsi="Arial" w:cs="Arial"/>
          <w:color w:val="000000" w:themeColor="text1"/>
        </w:rPr>
        <w:t>uch Mitglieder mit einer profes</w:t>
      </w:r>
      <w:r w:rsidRPr="000911D8">
        <w:rPr>
          <w:rFonts w:ascii="Arial" w:hAnsi="Arial" w:cs="Arial"/>
          <w:color w:val="000000" w:themeColor="text1"/>
        </w:rPr>
        <w:t>sionellen Kenntnis der Verhältnisse und Aufgaben in den Bereichen der Pflege- und der Eingliederungshilfe einzubeziehen. Für die Erarbeitung von Empfehlungen für Unternehmen und Einrichtungen der Pflege und Ein</w:t>
      </w:r>
      <w:r>
        <w:rPr>
          <w:rFonts w:ascii="Arial" w:hAnsi="Arial" w:cs="Arial"/>
          <w:color w:val="000000" w:themeColor="text1"/>
        </w:rPr>
        <w:t>gliederungshilfe soll eine stän</w:t>
      </w:r>
      <w:r w:rsidRPr="000911D8">
        <w:rPr>
          <w:rFonts w:ascii="Arial" w:hAnsi="Arial" w:cs="Arial"/>
          <w:color w:val="000000" w:themeColor="text1"/>
        </w:rPr>
        <w:t xml:space="preserve">dige Arbeitsgruppe eingerichtet werden. </w:t>
      </w:r>
    </w:p>
    <w:p w:rsidR="000911D8" w:rsidRDefault="000911D8" w:rsidP="00A25474">
      <w:pPr>
        <w:spacing w:after="0" w:line="240" w:lineRule="atLeast"/>
        <w:rPr>
          <w:rFonts w:ascii="Arial" w:hAnsi="Arial" w:cs="Arial"/>
          <w:color w:val="000000" w:themeColor="text1"/>
        </w:rPr>
      </w:pPr>
      <w:r>
        <w:rPr>
          <w:rFonts w:ascii="Arial" w:hAnsi="Arial" w:cs="Arial"/>
          <w:color w:val="000000" w:themeColor="text1"/>
        </w:rPr>
        <w:t>Die Zeitschiene der Arbeitsgruppe ist gegenwärtig nicht bekannt</w:t>
      </w:r>
    </w:p>
    <w:p w:rsidR="000911D8" w:rsidRDefault="000911D8" w:rsidP="00A25474">
      <w:pPr>
        <w:spacing w:after="0" w:line="240" w:lineRule="atLeast"/>
        <w:rPr>
          <w:rFonts w:ascii="Arial" w:hAnsi="Arial" w:cs="Arial"/>
          <w:color w:val="000000" w:themeColor="text1"/>
        </w:rPr>
      </w:pPr>
    </w:p>
    <w:p w:rsidR="000911D8" w:rsidRDefault="000911D8" w:rsidP="00A25474">
      <w:pPr>
        <w:spacing w:after="0" w:line="240" w:lineRule="atLeast"/>
        <w:rPr>
          <w:rFonts w:ascii="Arial" w:hAnsi="Arial" w:cs="Arial"/>
          <w:color w:val="000000" w:themeColor="text1"/>
        </w:rPr>
      </w:pPr>
    </w:p>
    <w:p w:rsidR="000911D8" w:rsidRPr="00AB4603" w:rsidRDefault="000911D8" w:rsidP="00A25474">
      <w:pPr>
        <w:spacing w:after="0" w:line="240" w:lineRule="atLeast"/>
        <w:rPr>
          <w:rFonts w:ascii="Arial" w:hAnsi="Arial" w:cs="Arial"/>
          <w:b/>
          <w:color w:val="000000" w:themeColor="text1"/>
        </w:rPr>
      </w:pPr>
      <w:r w:rsidRPr="00AB4603">
        <w:rPr>
          <w:rFonts w:ascii="Arial" w:hAnsi="Arial" w:cs="Arial"/>
          <w:b/>
          <w:color w:val="000000" w:themeColor="text1"/>
        </w:rPr>
        <w:t xml:space="preserve">Im Gegensatz zur voll – und teilstationären Pflege gibt es für die ambulante Pflege und auch für ambulante Intensivpflege etc. </w:t>
      </w:r>
      <w:r w:rsidR="00AB4603" w:rsidRPr="00AB4603">
        <w:rPr>
          <w:rFonts w:ascii="Arial" w:hAnsi="Arial" w:cs="Arial"/>
          <w:b/>
          <w:color w:val="000000" w:themeColor="text1"/>
        </w:rPr>
        <w:t xml:space="preserve">keine Koordinierungsaufgaben im Bereich, Testen, Impfen und Unterstützung der Versorgung von Bewohnern mit antiviralen Therapeutika. </w:t>
      </w:r>
    </w:p>
    <w:p w:rsidR="008C2CB7" w:rsidRDefault="008C2CB7" w:rsidP="00143401">
      <w:pPr>
        <w:spacing w:after="0" w:line="240" w:lineRule="atLeast"/>
        <w:rPr>
          <w:rFonts w:ascii="Arial" w:hAnsi="Arial" w:cs="Arial"/>
          <w:color w:val="000000" w:themeColor="text1"/>
        </w:rPr>
      </w:pPr>
    </w:p>
    <w:p w:rsidR="0026180B" w:rsidRDefault="0026180B" w:rsidP="00143401">
      <w:pPr>
        <w:spacing w:after="0" w:line="240" w:lineRule="atLeast"/>
        <w:rPr>
          <w:rFonts w:ascii="Arial" w:hAnsi="Arial" w:cs="Arial"/>
          <w:color w:val="000000" w:themeColor="text1"/>
        </w:rPr>
      </w:pPr>
      <w:r>
        <w:rPr>
          <w:rFonts w:ascii="Arial" w:hAnsi="Arial" w:cs="Arial"/>
          <w:color w:val="000000" w:themeColor="text1"/>
        </w:rPr>
        <w:t>Inkrafttreten: 17.09.2022</w:t>
      </w:r>
    </w:p>
    <w:p w:rsidR="000911D8" w:rsidRDefault="000911D8" w:rsidP="00143401">
      <w:pPr>
        <w:spacing w:after="0" w:line="240" w:lineRule="atLeast"/>
        <w:rPr>
          <w:rFonts w:ascii="Arial" w:hAnsi="Arial" w:cs="Arial"/>
          <w:color w:val="000000" w:themeColor="text1"/>
        </w:rPr>
      </w:pPr>
    </w:p>
    <w:p w:rsidR="002F4EFA" w:rsidRPr="00A51D07" w:rsidRDefault="00143401" w:rsidP="00143401">
      <w:pPr>
        <w:pBdr>
          <w:top w:val="single" w:sz="4" w:space="1" w:color="auto"/>
          <w:left w:val="single" w:sz="4" w:space="4" w:color="auto"/>
          <w:bottom w:val="single" w:sz="4" w:space="1" w:color="auto"/>
          <w:right w:val="single" w:sz="4" w:space="4" w:color="auto"/>
        </w:pBdr>
        <w:spacing w:after="0" w:line="240" w:lineRule="atLeast"/>
        <w:rPr>
          <w:rFonts w:ascii="Arial" w:hAnsi="Arial" w:cs="Arial"/>
          <w:b/>
          <w:bCs/>
          <w:color w:val="000000" w:themeColor="text1"/>
        </w:rPr>
      </w:pPr>
      <w:r w:rsidRPr="00143401">
        <w:rPr>
          <w:rFonts w:ascii="Arial" w:hAnsi="Arial" w:cs="Arial"/>
          <w:b/>
          <w:color w:val="000000" w:themeColor="text1"/>
        </w:rPr>
        <w:t>Weitere Informationen für die ambulante Pflege, teilstationäre und vollstationären Pflege</w:t>
      </w:r>
      <w:r w:rsidR="00A51D07">
        <w:rPr>
          <w:rFonts w:ascii="Arial" w:hAnsi="Arial" w:cs="Arial"/>
          <w:b/>
          <w:color w:val="000000" w:themeColor="text1"/>
        </w:rPr>
        <w:t xml:space="preserve"> </w:t>
      </w:r>
      <w:r w:rsidR="00A51D07" w:rsidRPr="00A51D07">
        <w:rPr>
          <w:rFonts w:ascii="Arial" w:hAnsi="Arial" w:cs="Arial"/>
          <w:b/>
          <w:bCs/>
          <w:color w:val="000000" w:themeColor="text1"/>
        </w:rPr>
        <w:t>Verlängerung der gegenwärtigen pandemiebedingten Sonderregelungen im SGB XI und in der Akuthilfe für pflegende Angehörige  </w:t>
      </w:r>
    </w:p>
    <w:p w:rsidR="00143401" w:rsidRDefault="00143401" w:rsidP="00143401">
      <w:pPr>
        <w:spacing w:after="0" w:line="240" w:lineRule="atLeast"/>
        <w:rPr>
          <w:rFonts w:ascii="Arial" w:hAnsi="Arial" w:cs="Arial"/>
          <w:color w:val="000000" w:themeColor="text1"/>
        </w:rPr>
      </w:pPr>
    </w:p>
    <w:p w:rsidR="00A51D07" w:rsidRPr="00A51D07" w:rsidRDefault="00143401" w:rsidP="00A51D07">
      <w:pPr>
        <w:pStyle w:val="Listenabsatz"/>
        <w:numPr>
          <w:ilvl w:val="0"/>
          <w:numId w:val="5"/>
        </w:numPr>
        <w:spacing w:after="0" w:line="240" w:lineRule="atLeast"/>
        <w:ind w:left="357" w:hanging="357"/>
        <w:rPr>
          <w:rFonts w:ascii="Arial" w:hAnsi="Arial" w:cs="Arial"/>
          <w:color w:val="000000" w:themeColor="text1"/>
        </w:rPr>
      </w:pPr>
      <w:r w:rsidRPr="00A51D07">
        <w:rPr>
          <w:rFonts w:ascii="Arial" w:hAnsi="Arial" w:cs="Arial"/>
          <w:color w:val="000000" w:themeColor="text1"/>
        </w:rPr>
        <w:t xml:space="preserve">Verlängerung der Anzeigepflicht für zugelassene Pflegeeinrichtungen von COVID-19-bedingten Beeinträchtigungen der pflegerischen Versorgung gegenüber den Pflegekassen sowie Möglichkeit zur entsprechenden Abweichung von gesetzlichen und vertraglichen Vorgaben bis einschließlich 30. April 2023. </w:t>
      </w:r>
      <w:r w:rsidR="00A51D07" w:rsidRPr="00A51D07">
        <w:rPr>
          <w:rFonts w:ascii="Arial" w:hAnsi="Arial" w:cs="Arial"/>
          <w:color w:val="000000" w:themeColor="text1"/>
        </w:rPr>
        <w:t xml:space="preserve">(§ 150 Abs. 1 SGB XI) </w:t>
      </w:r>
    </w:p>
    <w:p w:rsidR="00A51D07" w:rsidRPr="00A51D07" w:rsidRDefault="00A51D07" w:rsidP="00A51D07">
      <w:pPr>
        <w:pStyle w:val="Listenabsatz"/>
        <w:numPr>
          <w:ilvl w:val="0"/>
          <w:numId w:val="5"/>
        </w:numPr>
        <w:spacing w:after="0" w:line="240" w:lineRule="atLeast"/>
        <w:ind w:left="357" w:hanging="357"/>
        <w:rPr>
          <w:rFonts w:ascii="Arial" w:hAnsi="Arial" w:cs="Arial"/>
          <w:color w:val="000000" w:themeColor="text1"/>
        </w:rPr>
      </w:pPr>
      <w:r w:rsidRPr="00A51D07">
        <w:rPr>
          <w:rFonts w:ascii="Arial" w:hAnsi="Arial" w:cs="Arial"/>
          <w:color w:val="000000" w:themeColor="text1"/>
        </w:rPr>
        <w:t xml:space="preserve">Verlängerung der Regelungen zur Testkostenerstattung in § 150 Abs.2 und Abs.3 SGB XI </w:t>
      </w:r>
    </w:p>
    <w:p w:rsidR="00A51D07" w:rsidRDefault="00143401" w:rsidP="00A51D07">
      <w:pPr>
        <w:pStyle w:val="Listenabsatz"/>
        <w:numPr>
          <w:ilvl w:val="0"/>
          <w:numId w:val="5"/>
        </w:numPr>
        <w:spacing w:after="0" w:line="240" w:lineRule="atLeast"/>
        <w:ind w:left="357" w:hanging="357"/>
        <w:rPr>
          <w:rFonts w:ascii="Arial" w:hAnsi="Arial" w:cs="Arial"/>
          <w:color w:val="000000" w:themeColor="text1"/>
        </w:rPr>
      </w:pPr>
      <w:r w:rsidRPr="00A51D07">
        <w:rPr>
          <w:rFonts w:ascii="Arial" w:hAnsi="Arial" w:cs="Arial"/>
          <w:color w:val="000000" w:themeColor="text1"/>
        </w:rPr>
        <w:t xml:space="preserve">Zur Sicherstellung der häuslichen Versorgung von pflegebedürftigen Personen werden die Absätze 5 (Kostenerstattung in Höhe der ambulanten Sachleistungsbeträge bei Pflegegrad 2 bis 5), 5b (flexibler Einsatz des Entlastungsbetrags bei Pflegegrad 1) und 5d (pandemiebedingtes Pflegeunterstützungsgeld für bis zu 20 Arbeitstage) bis einschließlich 30. April 2023 verlängert. </w:t>
      </w:r>
    </w:p>
    <w:p w:rsidR="00A51D07" w:rsidRDefault="00143401" w:rsidP="00A51D07">
      <w:pPr>
        <w:pStyle w:val="Listenabsatz"/>
        <w:numPr>
          <w:ilvl w:val="0"/>
          <w:numId w:val="5"/>
        </w:numPr>
        <w:spacing w:after="0" w:line="240" w:lineRule="atLeast"/>
        <w:ind w:left="357" w:hanging="357"/>
        <w:rPr>
          <w:rFonts w:ascii="Arial" w:hAnsi="Arial" w:cs="Arial"/>
          <w:color w:val="000000" w:themeColor="text1"/>
        </w:rPr>
      </w:pPr>
      <w:r w:rsidRPr="00A51D07">
        <w:rPr>
          <w:rFonts w:ascii="Arial" w:hAnsi="Arial" w:cs="Arial"/>
          <w:color w:val="000000" w:themeColor="text1"/>
        </w:rPr>
        <w:lastRenderedPageBreak/>
        <w:t xml:space="preserve">Ebenso werden die Vorschriften mit den pandemiebedingten Sonderregelungen für pflegende Angehörige im Pflegezeitgesetz und im Familienpflegezeitgesetz bis zum 30. April 2023 verlängert. </w:t>
      </w:r>
    </w:p>
    <w:p w:rsidR="00A51D07" w:rsidRPr="00A51D07" w:rsidRDefault="00143401" w:rsidP="00A51D07">
      <w:pPr>
        <w:pStyle w:val="Listenabsatz"/>
        <w:numPr>
          <w:ilvl w:val="0"/>
          <w:numId w:val="5"/>
        </w:numPr>
        <w:spacing w:after="0" w:line="240" w:lineRule="atLeast"/>
        <w:ind w:left="357" w:hanging="357"/>
        <w:rPr>
          <w:rFonts w:ascii="Arial" w:hAnsi="Arial" w:cs="Arial"/>
          <w:color w:val="000000" w:themeColor="text1"/>
        </w:rPr>
      </w:pPr>
      <w:r w:rsidRPr="00A51D07">
        <w:rPr>
          <w:rFonts w:ascii="Arial" w:eastAsia="Calibri" w:hAnsi="Arial" w:cs="Arial"/>
          <w:lang w:eastAsia="de-DE"/>
        </w:rPr>
        <w:t>§ 9 Absatz 1 PflegeZG enthält das Recht, der Arbeit zur Bewältigung einer pandemiebedingten akuten Pflegesituation bis 30.04.2023 bis zu 20 Arbeitstage fernzubleiben.</w:t>
      </w:r>
    </w:p>
    <w:p w:rsidR="00A51D07" w:rsidRPr="00A51D07" w:rsidRDefault="00143401" w:rsidP="00A51D07">
      <w:pPr>
        <w:pStyle w:val="Listenabsatz"/>
        <w:numPr>
          <w:ilvl w:val="0"/>
          <w:numId w:val="5"/>
        </w:numPr>
        <w:spacing w:after="0" w:line="240" w:lineRule="atLeast"/>
        <w:ind w:left="357" w:hanging="357"/>
        <w:rPr>
          <w:rFonts w:ascii="Arial" w:hAnsi="Arial" w:cs="Arial"/>
          <w:color w:val="000000" w:themeColor="text1"/>
        </w:rPr>
      </w:pPr>
      <w:r w:rsidRPr="00A51D07">
        <w:rPr>
          <w:rFonts w:ascii="Arial" w:eastAsia="Calibri" w:hAnsi="Arial" w:cs="Arial"/>
          <w:lang w:eastAsia="de-DE"/>
        </w:rPr>
        <w:t>Die Absätze 2, 4, 5 und 7 des § 9 PflegeZG regeln Flexibilisierungen bei der Inanspruchnahme der Freistellungen wie etwa die Möglichkeit einer Ankündigung und Teilzeit-Vereinbarung mit dem Arbeitgeber in Textform oder das Recht, mit Zustimmung des Arbeitgebers eine Freistellung auch ohne unmittelbaren Anschluss bzw. erneut in Anspruch nehmen zu können.</w:t>
      </w:r>
    </w:p>
    <w:p w:rsidR="00A51D07" w:rsidRPr="00A51D07" w:rsidRDefault="00143401" w:rsidP="00A51D07">
      <w:pPr>
        <w:pStyle w:val="Listenabsatz"/>
        <w:numPr>
          <w:ilvl w:val="0"/>
          <w:numId w:val="5"/>
        </w:numPr>
        <w:spacing w:after="0" w:line="240" w:lineRule="atLeast"/>
        <w:ind w:left="357" w:hanging="357"/>
        <w:rPr>
          <w:rFonts w:ascii="Arial" w:hAnsi="Arial" w:cs="Arial"/>
          <w:color w:val="000000" w:themeColor="text1"/>
        </w:rPr>
      </w:pPr>
      <w:r w:rsidRPr="00A51D07">
        <w:rPr>
          <w:rFonts w:ascii="Arial" w:eastAsia="Calibri" w:hAnsi="Arial" w:cs="Arial"/>
          <w:lang w:eastAsia="de-DE"/>
        </w:rPr>
        <w:t>Nach § 3 Absatz 3 Satz 7 FPfZG können auf Antrag bis 30.04.2023 Monate mit einem pandemiebedingt niedrigeren Arbeitsentgelt unberücksichtigt bleiben.</w:t>
      </w:r>
    </w:p>
    <w:p w:rsidR="009B5221" w:rsidRPr="009B5221" w:rsidRDefault="00143401" w:rsidP="009B5221">
      <w:pPr>
        <w:pStyle w:val="Listenabsatz"/>
        <w:numPr>
          <w:ilvl w:val="0"/>
          <w:numId w:val="5"/>
        </w:numPr>
        <w:spacing w:after="0" w:line="240" w:lineRule="atLeast"/>
        <w:ind w:left="357" w:hanging="357"/>
        <w:rPr>
          <w:rFonts w:ascii="Arial" w:hAnsi="Arial" w:cs="Arial"/>
          <w:color w:val="000000" w:themeColor="text1"/>
        </w:rPr>
      </w:pPr>
      <w:r w:rsidRPr="00A51D07">
        <w:rPr>
          <w:rFonts w:ascii="Arial" w:eastAsia="Calibri" w:hAnsi="Arial" w:cs="Arial"/>
          <w:lang w:eastAsia="de-DE"/>
        </w:rPr>
        <w:t>§ 16 FPfZG enthält Flexibilisierungen aus Anlass der COVID-19-Pandemie wie etwa eine Ankündigungsfrist von 10 Arbeitstagen sowie die Möglichkeit einer Ankündigung und Teilzeit-Vereinbarung mit dem Arbeitgeber in Textform oder das Recht, mit Zustimmung des Arbeitgebers eine Freistellung auch ohne unmittelbaren Anschluss bzw. erneut in Anspruch nehmen zu können.  Darüber hinaus kann im Rahmen der Familienpflegezeit die wöchentliche Mindestarbeitszeit von 15 Wochenstunden auch vorübergehend für längstens einen Monat unterschritten werden.</w:t>
      </w:r>
    </w:p>
    <w:p w:rsidR="009B5221" w:rsidRPr="009B5221" w:rsidRDefault="009B5221" w:rsidP="009B5221">
      <w:pPr>
        <w:pStyle w:val="Listenabsatz"/>
        <w:numPr>
          <w:ilvl w:val="0"/>
          <w:numId w:val="5"/>
        </w:numPr>
        <w:spacing w:after="0" w:line="240" w:lineRule="atLeast"/>
        <w:ind w:left="357" w:hanging="357"/>
        <w:rPr>
          <w:rFonts w:ascii="Arial" w:hAnsi="Arial" w:cs="Arial"/>
          <w:color w:val="000000" w:themeColor="text1"/>
        </w:rPr>
      </w:pPr>
      <w:r w:rsidRPr="009B5221">
        <w:rPr>
          <w:rFonts w:ascii="Arial" w:eastAsia="Calibri" w:hAnsi="Arial" w:cs="Arial"/>
          <w:lang w:eastAsia="de-DE"/>
        </w:rPr>
        <w:t xml:space="preserve">Neuer Satz 4 in § 113 Absatz 1 SGB XI:. </w:t>
      </w:r>
      <w:r w:rsidRPr="009B5221">
        <w:rPr>
          <w:rFonts w:ascii="Arial" w:hAnsi="Arial" w:cs="Arial"/>
          <w:color w:val="000000" w:themeColor="text1"/>
        </w:rPr>
        <w:t>In den Vereinbarungen</w:t>
      </w:r>
      <w:r>
        <w:rPr>
          <w:rFonts w:ascii="Arial" w:hAnsi="Arial" w:cs="Arial"/>
          <w:color w:val="000000" w:themeColor="text1"/>
        </w:rPr>
        <w:t xml:space="preserve"> (d.h. in den MuG ambulant, stationär etc.) </w:t>
      </w:r>
      <w:r w:rsidRPr="009B5221">
        <w:rPr>
          <w:rFonts w:ascii="Arial" w:hAnsi="Arial" w:cs="Arial"/>
          <w:color w:val="000000" w:themeColor="text1"/>
        </w:rPr>
        <w:t>ist zu regeln, welche Fort- und Weiterbildungen ganz oder teilweise in digitaler Form durchgeführt werden können; geeignete Schulungen und Qualifikationsmaßnahmen sind durch die Pflegekassen anzuerkennen.</w:t>
      </w:r>
    </w:p>
    <w:p w:rsidR="009B5221" w:rsidRDefault="009B5221" w:rsidP="00143401">
      <w:pPr>
        <w:spacing w:after="0" w:line="240" w:lineRule="atLeast"/>
        <w:rPr>
          <w:rFonts w:ascii="Arial" w:hAnsi="Arial" w:cs="Arial"/>
          <w:color w:val="000000" w:themeColor="text1"/>
        </w:rPr>
      </w:pPr>
    </w:p>
    <w:p w:rsidR="009B5221" w:rsidRDefault="009B5221" w:rsidP="00143401">
      <w:pPr>
        <w:spacing w:after="0" w:line="240" w:lineRule="atLeast"/>
        <w:rPr>
          <w:rFonts w:ascii="Arial" w:hAnsi="Arial" w:cs="Arial"/>
          <w:color w:val="000000" w:themeColor="text1"/>
        </w:rPr>
      </w:pPr>
    </w:p>
    <w:p w:rsidR="009B5221" w:rsidRDefault="009B5221" w:rsidP="00143401">
      <w:pPr>
        <w:spacing w:after="0" w:line="240" w:lineRule="atLeast"/>
        <w:rPr>
          <w:rFonts w:ascii="Arial" w:hAnsi="Arial" w:cs="Arial"/>
          <w:color w:val="000000" w:themeColor="text1"/>
        </w:rPr>
      </w:pPr>
    </w:p>
    <w:p w:rsidR="0026180B" w:rsidRDefault="00D17C71" w:rsidP="00143401">
      <w:pPr>
        <w:spacing w:after="0" w:line="240" w:lineRule="atLeast"/>
        <w:rPr>
          <w:rFonts w:ascii="Arial" w:hAnsi="Arial" w:cs="Arial"/>
          <w:color w:val="000000" w:themeColor="text1"/>
        </w:rPr>
      </w:pPr>
      <w:r>
        <w:rPr>
          <w:rFonts w:ascii="Arial" w:hAnsi="Arial" w:cs="Arial"/>
          <w:color w:val="000000" w:themeColor="text1"/>
        </w:rPr>
        <w:t>Inkrafttreten: 17.09.2022</w:t>
      </w:r>
    </w:p>
    <w:p w:rsidR="00D17C71" w:rsidRDefault="00D17C71" w:rsidP="00143401">
      <w:pPr>
        <w:spacing w:after="0" w:line="240" w:lineRule="atLeast"/>
        <w:rPr>
          <w:rFonts w:ascii="Arial" w:hAnsi="Arial" w:cs="Arial"/>
          <w:color w:val="000000" w:themeColor="text1"/>
        </w:rPr>
      </w:pPr>
    </w:p>
    <w:p w:rsidR="00D17C71" w:rsidRDefault="00D17C71" w:rsidP="00143401">
      <w:pPr>
        <w:spacing w:after="0" w:line="240" w:lineRule="atLeast"/>
        <w:rPr>
          <w:rFonts w:ascii="Arial" w:hAnsi="Arial" w:cs="Arial"/>
          <w:color w:val="000000" w:themeColor="text1"/>
        </w:rPr>
      </w:pPr>
    </w:p>
    <w:p w:rsidR="00143401" w:rsidRDefault="0026180B" w:rsidP="00143401">
      <w:pPr>
        <w:spacing w:after="0" w:line="240" w:lineRule="atLeast"/>
        <w:rPr>
          <w:rFonts w:ascii="Arial" w:hAnsi="Arial" w:cs="Arial"/>
          <w:color w:val="000000" w:themeColor="text1"/>
        </w:rPr>
      </w:pPr>
      <w:r>
        <w:rPr>
          <w:rFonts w:ascii="Arial" w:hAnsi="Arial" w:cs="Arial"/>
          <w:color w:val="000000" w:themeColor="text1"/>
        </w:rPr>
        <w:t>Stand 16.09.2022 nach Veröffentlichung um Bundesgesetzblatt</w:t>
      </w:r>
    </w:p>
    <w:p w:rsidR="0026180B" w:rsidRDefault="0026180B" w:rsidP="00143401">
      <w:pPr>
        <w:spacing w:after="0" w:line="240" w:lineRule="atLeast"/>
        <w:rPr>
          <w:rFonts w:ascii="Arial" w:hAnsi="Arial" w:cs="Arial"/>
          <w:color w:val="000000" w:themeColor="text1"/>
        </w:rPr>
      </w:pPr>
    </w:p>
    <w:sectPr w:rsidR="0026180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401" w:rsidRDefault="00143401" w:rsidP="00143401">
      <w:pPr>
        <w:spacing w:after="0" w:line="240" w:lineRule="auto"/>
      </w:pPr>
      <w:r>
        <w:separator/>
      </w:r>
    </w:p>
  </w:endnote>
  <w:endnote w:type="continuationSeparator" w:id="0">
    <w:p w:rsidR="00143401" w:rsidRDefault="00143401" w:rsidP="0014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B7" w:rsidRPr="005518B7" w:rsidRDefault="005518B7" w:rsidP="005518B7">
    <w:pPr>
      <w:pStyle w:val="Fuzeile"/>
      <w:rPr>
        <w:i/>
      </w:rPr>
    </w:pPr>
    <w:r w:rsidRPr="005518B7">
      <w:rPr>
        <w:i/>
        <w:iCs/>
      </w:rPr>
      <w:t>Diakonie Deutschland – Evangelisches Werk für Diakonie und Entwicklung /Zentrum GRP/</w:t>
    </w:r>
    <w:r>
      <w:rPr>
        <w:i/>
        <w:iCs/>
      </w:rPr>
      <w:br/>
    </w:r>
    <w:r w:rsidRPr="005518B7">
      <w:rPr>
        <w:i/>
        <w:iCs/>
      </w:rPr>
      <w:t xml:space="preserve">Arbeitsfeld </w:t>
    </w:r>
    <w:r w:rsidRPr="005518B7">
      <w:rPr>
        <w:i/>
      </w:rPr>
      <w:t xml:space="preserve">ambulante gesundheits- und sozialpflegerische Dienste/ambulante Altenhilfe </w:t>
    </w:r>
    <w:r w:rsidRPr="005518B7">
      <w:rPr>
        <w:i/>
      </w:rPr>
      <w:tab/>
    </w:r>
    <w:r w:rsidRPr="005518B7">
      <w:rPr>
        <w:i/>
      </w:rPr>
      <w:fldChar w:fldCharType="begin"/>
    </w:r>
    <w:r w:rsidRPr="005518B7">
      <w:rPr>
        <w:i/>
      </w:rPr>
      <w:instrText xml:space="preserve"> COMMENTS   \* MERGEFORMAT </w:instrText>
    </w:r>
    <w:r w:rsidRPr="005518B7">
      <w:fldChar w:fldCharType="end"/>
    </w:r>
    <w:r w:rsidRPr="005518B7">
      <w:rPr>
        <w:i/>
      </w:rPr>
      <w:fldChar w:fldCharType="begin"/>
    </w:r>
    <w:r w:rsidRPr="005518B7">
      <w:rPr>
        <w:i/>
      </w:rPr>
      <w:instrText xml:space="preserve"> PAGE   \* MERGEFORMAT </w:instrText>
    </w:r>
    <w:r w:rsidRPr="005518B7">
      <w:rPr>
        <w:i/>
      </w:rPr>
      <w:fldChar w:fldCharType="separate"/>
    </w:r>
    <w:r w:rsidR="005101D1">
      <w:rPr>
        <w:i/>
        <w:noProof/>
      </w:rPr>
      <w:t>1</w:t>
    </w:r>
    <w:r w:rsidRPr="005518B7">
      <w:fldChar w:fldCharType="end"/>
    </w:r>
  </w:p>
  <w:p w:rsidR="00143401" w:rsidRDefault="001434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401" w:rsidRDefault="00143401" w:rsidP="00143401">
      <w:pPr>
        <w:spacing w:after="0" w:line="240" w:lineRule="auto"/>
      </w:pPr>
      <w:r>
        <w:separator/>
      </w:r>
    </w:p>
  </w:footnote>
  <w:footnote w:type="continuationSeparator" w:id="0">
    <w:p w:rsidR="00143401" w:rsidRDefault="00143401" w:rsidP="00143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B7" w:rsidRDefault="005518B7">
    <w:pPr>
      <w:pStyle w:val="Kopfzeile"/>
    </w:pPr>
    <w:r>
      <w:rPr>
        <w:noProof/>
        <w:lang w:eastAsia="de-DE"/>
      </w:rPr>
      <w:drawing>
        <wp:inline distT="0" distB="0" distL="0" distR="0" wp14:anchorId="2637EA2C" wp14:editId="4A1F69B5">
          <wp:extent cx="1238250" cy="4095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rsidR="005518B7" w:rsidRDefault="005518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C33"/>
    <w:multiLevelType w:val="hybridMultilevel"/>
    <w:tmpl w:val="A71458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A74D84"/>
    <w:multiLevelType w:val="hybridMultilevel"/>
    <w:tmpl w:val="EE560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B9778A"/>
    <w:multiLevelType w:val="hybridMultilevel"/>
    <w:tmpl w:val="53F0AD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3720A0"/>
    <w:multiLevelType w:val="hybridMultilevel"/>
    <w:tmpl w:val="BC4A01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B2D0A"/>
    <w:multiLevelType w:val="hybridMultilevel"/>
    <w:tmpl w:val="0C1CF76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E1643FE"/>
    <w:multiLevelType w:val="hybridMultilevel"/>
    <w:tmpl w:val="53704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020A05"/>
    <w:multiLevelType w:val="hybridMultilevel"/>
    <w:tmpl w:val="0E5AFC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8E4D2A"/>
    <w:multiLevelType w:val="hybridMultilevel"/>
    <w:tmpl w:val="3872F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DC0E8F"/>
    <w:multiLevelType w:val="hybridMultilevel"/>
    <w:tmpl w:val="6D748F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3B3B4C"/>
    <w:multiLevelType w:val="hybridMultilevel"/>
    <w:tmpl w:val="2258F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F43BAF"/>
    <w:multiLevelType w:val="hybridMultilevel"/>
    <w:tmpl w:val="DB0E5E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A07734"/>
    <w:multiLevelType w:val="hybridMultilevel"/>
    <w:tmpl w:val="C4CC6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AF6CB1"/>
    <w:multiLevelType w:val="hybridMultilevel"/>
    <w:tmpl w:val="FF8AF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886BB5"/>
    <w:multiLevelType w:val="hybridMultilevel"/>
    <w:tmpl w:val="9BA0D3C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5"/>
  </w:num>
  <w:num w:numId="4">
    <w:abstractNumId w:val="6"/>
  </w:num>
  <w:num w:numId="5">
    <w:abstractNumId w:val="12"/>
  </w:num>
  <w:num w:numId="6">
    <w:abstractNumId w:val="9"/>
  </w:num>
  <w:num w:numId="7">
    <w:abstractNumId w:val="1"/>
  </w:num>
  <w:num w:numId="8">
    <w:abstractNumId w:val="0"/>
  </w:num>
  <w:num w:numId="9">
    <w:abstractNumId w:val="4"/>
  </w:num>
  <w:num w:numId="10">
    <w:abstractNumId w:val="0"/>
  </w:num>
  <w:num w:numId="11">
    <w:abstractNumId w:val="4"/>
  </w:num>
  <w:num w:numId="12">
    <w:abstractNumId w:val="13"/>
  </w:num>
  <w:num w:numId="13">
    <w:abstractNumId w:val="2"/>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2C"/>
    <w:rsid w:val="000107AE"/>
    <w:rsid w:val="000911D8"/>
    <w:rsid w:val="00143401"/>
    <w:rsid w:val="0026180B"/>
    <w:rsid w:val="002C2FD5"/>
    <w:rsid w:val="002F4EFA"/>
    <w:rsid w:val="004D6C02"/>
    <w:rsid w:val="005101D1"/>
    <w:rsid w:val="00543029"/>
    <w:rsid w:val="005518B7"/>
    <w:rsid w:val="0056321D"/>
    <w:rsid w:val="00570023"/>
    <w:rsid w:val="00623727"/>
    <w:rsid w:val="006E170D"/>
    <w:rsid w:val="00763553"/>
    <w:rsid w:val="00890AA4"/>
    <w:rsid w:val="008C2CB7"/>
    <w:rsid w:val="009B5221"/>
    <w:rsid w:val="00A06219"/>
    <w:rsid w:val="00A17336"/>
    <w:rsid w:val="00A25474"/>
    <w:rsid w:val="00A2602C"/>
    <w:rsid w:val="00A51D07"/>
    <w:rsid w:val="00AB4603"/>
    <w:rsid w:val="00C723FB"/>
    <w:rsid w:val="00D17C71"/>
    <w:rsid w:val="00E56AB6"/>
    <w:rsid w:val="00E80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7CC884"/>
  <w15:chartTrackingRefBased/>
  <w15:docId w15:val="{0E74559F-B8C9-4BA0-A098-14DD40BE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5474"/>
    <w:pPr>
      <w:ind w:left="720"/>
      <w:contextualSpacing/>
    </w:pPr>
  </w:style>
  <w:style w:type="paragraph" w:styleId="Kopfzeile">
    <w:name w:val="header"/>
    <w:basedOn w:val="Standard"/>
    <w:link w:val="KopfzeileZchn"/>
    <w:uiPriority w:val="99"/>
    <w:unhideWhenUsed/>
    <w:rsid w:val="001434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401"/>
  </w:style>
  <w:style w:type="paragraph" w:styleId="Fuzeile">
    <w:name w:val="footer"/>
    <w:basedOn w:val="Standard"/>
    <w:link w:val="FuzeileZchn"/>
    <w:uiPriority w:val="99"/>
    <w:unhideWhenUsed/>
    <w:rsid w:val="001434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401"/>
  </w:style>
  <w:style w:type="character" w:styleId="Hyperlink">
    <w:name w:val="Hyperlink"/>
    <w:basedOn w:val="Absatz-Standardschriftart"/>
    <w:uiPriority w:val="99"/>
    <w:unhideWhenUsed/>
    <w:rsid w:val="00A51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6173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erika.stempfle</cp:lastModifiedBy>
  <cp:revision>6</cp:revision>
  <cp:lastPrinted>2022-09-08T09:47:00Z</cp:lastPrinted>
  <dcterms:created xsi:type="dcterms:W3CDTF">2022-09-21T04:36:00Z</dcterms:created>
  <dcterms:modified xsi:type="dcterms:W3CDTF">2022-09-30T07:18:00Z</dcterms:modified>
</cp:coreProperties>
</file>